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13: Discovery Agent, MCP Server &amp; Agentic AI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12-15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11 + 12</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 (Phantom Inventory), #4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Discovery Agent, Qlik MCP Server, Claude Desktop/Code, Agentic Analytics</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(AI &amp; Conversational) — the capstone. The Discovery Agent and MCP server are Qlarity's proactive, agentic layer: anomalies find you, and AI agents query the same governed data and documents that earlier phases built.</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The Discovery Agent proactively monitors data products for anomalies and alerts users before problems escalate. The MCP Server connects Qlik data to AI agents (Claude), enabling natural language queries that combine structured data with document intelligence. Together, they represent the AI-driven future of data analytics.</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54565A"/>
                <w:sz w:val="20"/>
                <w:szCs w:val="20"/>
              </w:rPr>
              <w:t xml:space="preserve">Everything we've shown so far requires a human to ask a question or look at a dashboard. But what if the data found you? What if an AI agent noticed that spoilage rates were climbing, correlated it with a fleet change, estimated the financial exposure, and alerted the right person — all before a single box of product spoiled? That's not future vision. That's what the Discovery Agent does today.</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"What if your data could proactively find problems and tell you before anyone asks — how would that change your team's operating model?"</w:t>
      </w:r>
    </w:p>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A: Discovery Agent</w:t>
      </w:r>
    </w:p>
    <w:p>
      <w:pPr>
        <w:spacing w:after="100" w:before="200"/>
      </w:pPr>
      <w:r>
        <w:rPr>
          <w:rFonts w:ascii="Inter" w:cs="Inter" w:eastAsia="Inter" w:hAnsi="Inter"/>
          <w:b/>
          <w:bCs/>
          <w:color w:val="19416C"/>
          <w:sz w:val="22"/>
          <w:szCs w:val="22"/>
        </w:rPr>
        <w:t xml:space="preserve">Setup</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Enable Discovery Agent on Gold data products: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Configure alert thresholds: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Threshold</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Value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Purpose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Trust Score drop</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Below 0.70</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Data quality degradation</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Sync lag</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Exceeds 60 minutes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Pipeline failure detection</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Volume anomaly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Spike or drop &gt; 50%</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Source system issues</w:t>
            </w:r>
          </w:p>
        </w:tc>
      </w:tr>
    </w:tbl>
    <w:p>
      <w:pPr>
        <w:spacing w:after="100" w:before="200"/>
      </w:pPr>
      <w:r>
        <w:rPr>
          <w:rFonts w:ascii="Inter" w:cs="Inter" w:eastAsia="Inter" w:hAnsi="Inter"/>
          <w:b/>
          <w:bCs/>
          <w:color w:val="19416C"/>
          <w:sz w:val="22"/>
          <w:szCs w:val="22"/>
        </w:rPr>
        <w:t xml:space="preserve">Demo Scenario: TransFrio Spoilage Detection</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Discovery Agent acting on the Phase 2 spoilage signal — proactively catching the TransFrio fleet change behind Nightmare #6 (Carrier Data Black Hole).</w:t>
      </w:r>
    </w:p>
    <w:p>
      <w:pPr>
        <w:spacing w:after="120"/>
        <w:jc w:val="left"/>
      </w:pPr>
      <w:r>
        <w:rPr>
          <w:rFonts w:ascii="Inter" w:cs="Inter" w:eastAsia="Inter" w:hAnsi="Inter"/>
          <w:b w:val="false"/>
          <w:bCs w:val="false"/>
          <w:i w:val="false"/>
          <w:iCs w:val="false"/>
          <w:color w:val="54565A"/>
          <w:sz w:val="21"/>
          <w:szCs w:val="21"/>
        </w:rPr>
        <w:t xml:space="preserve">The Discovery Agent monitors silver.iot_normalized and detects an anomaly pattern:</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Temperature exceedance rate on GRU-BA route spiked from 2.1% to 8.8% over 3 weeks</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Agent correlates: fleet metadata shows 6 truck replacements in the same period</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Agent generates alert: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Temperature exceedance on GRU-BA route. Spoilage rate increased 4x since fleet change on July 7. 12 active shipments at risk. Estimated $180K exposure. Click to view Cold Chain Dashboard.</w:t>
            </w:r>
          </w:p>
        </w:tc>
      </w:tr>
    </w:tbl>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Agent links to: Qlik Analytics dashboard, carrier contract (CARRIER-TF-2024), incident report (INC-2025-05102)</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The Discovery Agent found a pattern that took human analysts 3 weeks to notice. It connected fleet metadata changes to temperature anomalies across multiple data products — something no single dashboard could show.</w:t>
            </w:r>
          </w:p>
        </w:tc>
      </w:tr>
    </w:tbl>
    <w:p>
      <w:pPr>
        <w:pBdr>
          <w:bottom w:val="single" w:color="006580" w:sz="2" w:space="4"/>
        </w:pBdr>
        <w:spacing w:after="200" w:before="200"/>
      </w:pPr>
      <w:r>
        <w:rPr>
          <w:sz w:val="4"/>
          <w:szCs w:val="4"/>
        </w:rPr>
        <w:t xml:space="preserve"/>
      </w:r>
    </w:p>
    <w:p>
      <w:pPr>
        <w:spacing w:after="120" w:before="280"/>
      </w:pPr>
      <w:r>
        <w:rPr>
          <w:rFonts w:ascii="Inter" w:cs="Inter" w:eastAsia="Inter" w:hAnsi="Inter"/>
          <w:b/>
          <w:bCs/>
          <w:color w:val="006580"/>
          <w:sz w:val="26"/>
          <w:szCs w:val="26"/>
        </w:rPr>
        <w:t xml:space="preserve">Part B: MCP Server</w:t>
      </w:r>
    </w:p>
    <w:p>
      <w:pPr>
        <w:spacing w:after="100" w:before="200"/>
      </w:pPr>
      <w:r>
        <w:rPr>
          <w:rFonts w:ascii="Inter" w:cs="Inter" w:eastAsia="Inter" w:hAnsi="Inter"/>
          <w:b/>
          <w:bCs/>
          <w:color w:val="19416C"/>
          <w:sz w:val="22"/>
          <w:szCs w:val="22"/>
        </w:rPr>
        <w:t xml:space="preserve">Setup</w:t>
      </w:r>
    </w:p>
    <w:p>
      <w:pPr>
        <w:spacing w:after="120"/>
        <w:jc w:val="left"/>
      </w:pPr>
      <w:r>
        <w:rPr>
          <w:rFonts w:ascii="Inter" w:cs="Inter" w:eastAsia="Inter" w:hAnsi="Inter"/>
          <w:b w:val="false"/>
          <w:bCs w:val="false"/>
          <w:i w:val="false"/>
          <w:iCs w:val="false"/>
          <w:color w:val="54565A"/>
          <w:sz w:val="21"/>
          <w:szCs w:val="21"/>
        </w:rPr>
        <w:t xml:space="preserve">The Qlik MCP Server is cloud-hosted — no local installation required. It runs at your tenant URL and is accessed via the SSE (Server-Sent Events) transport. No npm package exists; the server is built into Qlik Cloud.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Generate an API key: Qlik Cloud Profile &gt; API Keys &gt; Generate new key</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Add the Qlik MCP server to Claude Desktop config (claude_desktop_config.json):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Claude Desktop Config (claude_desktop_config.json)</w:t>
            </w:r>
          </w:p>
          <w:p>
            <w:pPr>
              <w:spacing w:after="0"/>
            </w:pPr>
            <w:r>
              <w:rPr>
                <w:rFonts w:ascii="Inter" w:cs="Inter" w:eastAsia="Inter" w:hAnsi="Inter"/>
                <w:color w:val="54565A"/>
                <w:sz w:val="20"/>
                <w:szCs w:val="20"/>
              </w:rPr>
              <w:t xml:space="preserve">{
  "mcpServers": {
    "qlik": {
      "url": "https://your-tenant.us.qlikcloud.com/api/ai/mcp",
      "headers": {
        "Authorization": "Bearer YOUR_API_KEY_HERE"
      }
    }
  }
}</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Restart Claude Desktop — the Qlik MCP server connects automatically over SSE</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Test: Ask Claude "Search my Qlik tenant for supply chain apps"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Key talking point: The Qlik MCP Server exposes 71 tools across 10 categories — App Discovery, Bookmarks, Business Glossary, Datasets &amp; Data Quality, Data Exploration, Data Products, Lineage, Master Items, Selections, Visualization &amp; Sheets. These are live Qlik Cloud capabilities, not simulated responses.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MCP Tool Category</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Key Tools</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MCG Demo Use Case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App Discovery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qlik_search, qlik_describe_app, qlik_list_apps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Find supply chain and delivery apps</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 Products</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qlik_list_data_products, qlik_get_data_product</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Browse the two Gold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Business Glossary</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qlik_list_terms, qlik_get_term</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Look up 'phantom inventory', 'WISMO'</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 Exploration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qlik_get_fields, qlik_evaluate_expression</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Query gold.supply_chain_health</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Lineage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qlik_get_lineage</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Trace phantom inventory to source CDC pipeline</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Datasets &amp; Data Quality</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qlik_list_datasets, qlik_get_trust_score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Check Trust Scores across all data products</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Visualization &amp; Sheets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qlik_list_sheets, qlik_get_visualization</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Navigate Supply Chain Operations app sheets</w:t>
            </w:r>
          </w:p>
        </w:tc>
      </w:tr>
    </w:tbl>
    <w:p>
      <w:pPr>
        <w:spacing w:after="100" w:before="200"/>
      </w:pPr>
      <w:r>
        <w:rPr>
          <w:rFonts w:ascii="Inter" w:cs="Inter" w:eastAsia="Inter" w:hAnsi="Inter"/>
          <w:b/>
          <w:bCs/>
          <w:color w:val="19416C"/>
          <w:sz w:val="22"/>
          <w:szCs w:val="22"/>
        </w:rPr>
        <w:t xml:space="preserve">Build-Side: Governance for Coding Agents (Preview)</w:t>
      </w:r>
    </w:p>
    <w:p>
      <w:pPr>
        <w:spacing w:after="120"/>
        <w:jc w:val="left"/>
      </w:pPr>
      <w:r>
        <w:rPr>
          <w:rFonts w:ascii="Inter" w:cs="Inter" w:eastAsia="Inter" w:hAnsi="Inter"/>
          <w:b w:val="false"/>
          <w:bCs w:val="false"/>
          <w:i w:val="false"/>
          <w:iCs w:val="false"/>
          <w:color w:val="54565A"/>
          <w:sz w:val="21"/>
          <w:szCs w:val="21"/>
        </w:rPr>
        <w:t xml:space="preserve">The same Qlik MCP Server is the bridge that carries Qlik governance to any MCP-compatible AI assistant — including the coding agents developers use to author pipelines. Point Claude Code or GitHub Copilot at the MCP server and the agent can read data products, quality metrics, lineage, and the catalog while it works, so a developer editing the declarative pipeline YAML (Module 14) can ask 'what is the current Trust Score on Supply Chain Health?' or 'what lands silver.inventory_reconciled?' without leaving the IDE.</w:t>
      </w:r>
    </w:p>
    <w:p>
      <w:pPr>
        <w:spacing w:after="100" w:before="60"/>
      </w:pPr>
      <w:r>
        <w:rPr>
          <w:rFonts w:ascii="Inter" w:cs="Inter" w:eastAsia="Inter" w:hAnsi="Inter"/>
          <w:color w:val="54565A"/>
          <w:sz w:val="20"/>
          <w:szCs w:val="20"/>
        </w:rPr>
        <w:t xml:space="preserve">Expose Qlik data products, quality metrics, lineage, and catalog through one MCP server</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let coding agents author pipelines with governance context in view</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keep the build-side and consumption-side AI grounded in the same governed metadata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Preview / roadmap: the Qlik MCP Server tooling is a Qlik internal preview (June 2026). Position it as forward-looking. It is the same governance surface Module 14 (declarative pipelines) and the agentic-engineering modules build against — one MCP server serving both the developer in the IDE and the analyst in a chat.</w:t>
            </w:r>
          </w:p>
        </w:tc>
      </w:tr>
    </w:tbl>
    <w:p>
      <w:pPr>
        <w:spacing w:after="100" w:before="200"/>
      </w:pPr>
      <w:r>
        <w:rPr>
          <w:rFonts w:ascii="Inter" w:cs="Inter" w:eastAsia="Inter" w:hAnsi="Inter"/>
          <w:b/>
          <w:bCs/>
          <w:color w:val="19416C"/>
          <w:sz w:val="22"/>
          <w:szCs w:val="22"/>
        </w:rPr>
        <w:t xml:space="preserve">MCP Demo Scenario 1: Rotterdam Inventory</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querying Phase 1 monitoring outputs — phantom inventory (Nightmare #1) from the Rotterdam silent pipeline failure (Nightmare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What is the current inventory accuracy rate at Rotterdam DC, and what is causing the issues?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uses MCP to query gold.supply_chain_health filtered by dc = DC-RTD-01. Gets: IRA = 74%, phantom_units = 847, pipeline_status = RECOVERED. Then queries silver.order_delivery_timeline for affected orders. Finally pulls context from INC-2025-04872 (Rotterdam Pipeline Failure) via Qlik Answers.
Response: Rotterdam DC IRA is 74%, significantly below the 97% target. Root cause: silent pipeline failure INC-2025-04872 where WMS-to-SAP CDC sync stopped for 72 hours due to an expired TLS certificate. Created 847 phantom units across 143 SKUs, costing EUR 30,500. Pipeline recovered; Project Qlarity Phase 1 will extend monitoring to all 28 DCs.</w:t>
            </w:r>
          </w:p>
        </w:tc>
      </w:tr>
    </w:tbl>
    <w:p>
      <w:pPr>
        <w:spacing w:after="100" w:before="200"/>
      </w:pPr>
      <w:r>
        <w:rPr>
          <w:rFonts w:ascii="Inter" w:cs="Inter" w:eastAsia="Inter" w:hAnsi="Inter"/>
          <w:b/>
          <w:bCs/>
          <w:color w:val="19416C"/>
          <w:sz w:val="22"/>
          <w:szCs w:val="22"/>
        </w:rPr>
        <w:t xml:space="preserve">MCP Demo Scenario 2: Cold Chain Risk</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combining the Phase 2 spoilage prediction with live IoT data — the cold-chain carrier risk of Nightmare #6.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What is the current spoilage risk for active TransFrio shipments on the Sao Paulo to Buenos Aires route?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silver.iot_normalized for route=GRU-BA and carrier=TransFrio with active shipments. Returns: 4 active shipments, 2 with exceedance_minutes &gt; 30. Pulls INC-2025-05102 for context about the fleet change and TRN-2025-002 for the Thermo King X4 7500 startup procedure.</w:t>
            </w:r>
          </w:p>
        </w:tc>
      </w:tr>
    </w:tbl>
    <w:p>
      <w:pPr>
        <w:spacing w:after="100" w:before="200"/>
      </w:pPr>
      <w:r>
        <w:rPr>
          <w:rFonts w:ascii="Inter" w:cs="Inter" w:eastAsia="Inter" w:hAnsi="Inter"/>
          <w:b/>
          <w:bCs/>
          <w:color w:val="19416C"/>
          <w:sz w:val="22"/>
          <w:szCs w:val="22"/>
        </w:rPr>
        <w:t xml:space="preserve">MCP Demo Scenario 3: Carrier SLA Analysis</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across the canonicalized carrier data — resolving Nightmare #6 (Carrier Data Black Hole) into a single APAC SLA comparison.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Compare carrier on-time delivery performance across APAC. Which carrier is worst and why?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gold.last_mile_performance filtered by destination_region=APAC. Returns: NinjaVan at 69% on-time (worst), vs FedEx 94%, DHL 91%. Pulls CARRIER-NV-2025 for context: AMD3 reclassification effective Oct 1 changed 5-10 kg parcels from 2-day to 3-day delivery. 14,000 customers/month affected.</w:t>
            </w:r>
          </w:p>
        </w:tc>
      </w:tr>
    </w:tbl>
    <w:p>
      <w:pPr>
        <w:spacing w:after="100" w:before="200"/>
      </w:pPr>
      <w:r>
        <w:rPr>
          <w:rFonts w:ascii="Inter" w:cs="Inter" w:eastAsia="Inter" w:hAnsi="Inter"/>
          <w:b/>
          <w:bCs/>
          <w:color w:val="19416C"/>
          <w:sz w:val="22"/>
          <w:szCs w:val="22"/>
        </w:rPr>
        <w:t xml:space="preserve">MCP Demo Scenario 4: Customer WISMO Impact</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WISMO deflection — quantifying the carrier-visibility cost (Nightmare #6) the conversational layer is designed to reduce.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What is our WISMO rate and how much is it costing us?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gold.last_mile_performance filtered by wismo_flag=TRUE. Returns: overall WISMO rate 41%, cost per inquiry $2.30. Singapore worst at 52% (up from 30% pre-October). Annual WISMO cost: ~$4.2M. Pulls SOP-CS-001 for the current handling procedure and suggests process improvements.</w:t>
            </w:r>
          </w:p>
        </w:tc>
      </w:tr>
    </w:tbl>
    <w:p>
      <w:pPr>
        <w:spacing w:after="100" w:before="200"/>
      </w:pPr>
      <w:r>
        <w:rPr>
          <w:rFonts w:ascii="Inter" w:cs="Inter" w:eastAsia="Inter" w:hAnsi="Inter"/>
          <w:b/>
          <w:bCs/>
          <w:color w:val="19416C"/>
          <w:sz w:val="22"/>
          <w:szCs w:val="22"/>
        </w:rPr>
        <w:t xml:space="preserve">MCP Demo Scenario 5: Compliance Audit</w:t>
      </w:r>
    </w:p>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3 MCP closing Nightmare #7 (Compliance Traceability Gap) — instant NVWA audit readiness from the governed lot-capture and recall data.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6580" w:val="solid"/>
          </w:tcPr>
          <w:p>
            <w:pPr>
              <w:spacing w:after="0"/>
            </w:pPr>
            <w:r>
              <w:rPr>
                <w:sz w:val="10"/>
                <w:szCs w:val="10"/>
              </w:rPr>
              <w:t xml:space="preserve"> </w:t>
            </w:r>
          </w:p>
        </w:tc>
        <w:tc>
          <w:tcPr>
            <w:tcW w:type="pct" w:w="98%"/>
            <w:shd w:color="E0F2F5" w:val="solid"/>
            <w:tcMar>
              <w:top w:type="dxa" w:w="60"/>
              <w:left w:type="dxa" w:w="120"/>
              <w:bottom w:type="dxa" w:w="60"/>
              <w:right w:type="dxa" w:w="120"/>
            </w:tcMar>
          </w:tcPr>
          <w:p>
            <w:pPr>
              <w:spacing w:after="40"/>
            </w:pPr>
            <w:r>
              <w:rPr>
                <w:rFonts w:ascii="Inter" w:cs="Inter" w:eastAsia="Inter" w:hAnsi="Inter"/>
                <w:b/>
                <w:bCs/>
                <w:color w:val="006580"/>
                <w:sz w:val="18"/>
                <w:szCs w:val="18"/>
              </w:rPr>
              <w:t xml:space="preserve">Ask Claude</w:t>
            </w:r>
          </w:p>
          <w:p>
            <w:pPr>
              <w:spacing w:after="0"/>
            </w:pPr>
            <w:r>
              <w:rPr>
                <w:rFonts w:ascii="Inter" w:cs="Inter" w:eastAsia="Inter" w:hAnsi="Inter"/>
                <w:color w:val="54565A"/>
                <w:sz w:val="20"/>
                <w:szCs w:val="20"/>
              </w:rPr>
              <w:t xml:space="preserve">How ready are we for the next NVWA food safety audit? What are our biggest gaps?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54565A"/>
                <w:sz w:val="20"/>
                <w:szCs w:val="20"/>
              </w:rPr>
              <w:t xml:space="preserve">Claude queries silver.inventory_reconciled filtered by nvwa_applicable=TRUE. Returns: 85% lot capture rate (target 100%), 30% of lettuce records missing trace_complete. Pulls COMP-2025-NVWA for the 5 findings from the last audit and RCL-2025-003 for the recall timeline. Recommends prioritizing lot number capture for perishables.</w:t>
            </w:r>
          </w:p>
        </w:tc>
      </w:tr>
    </w:tbl>
    <w:p>
      <w:pPr>
        <w:pBdr>
          <w:bottom w:val="single" w:color="006580" w:sz="2" w:space="4"/>
        </w:pBdr>
        <w:spacing w:after="200" w:before="200"/>
      </w:pPr>
      <w:r>
        <w:rPr>
          <w:sz w:val="4"/>
          <w:szCs w:val="4"/>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Two AI capabilities that complete the picture: the Discovery Agent proactively monitors your data products and finds anomalies before anyone asks. The MCP Server lets AI agents like Claude query your real-time Qlik data and documents in a single conversation. Together, they shift your operating model from 'search for problems' to 'problems find you.'</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"If an AI agent could monitor all of your data products 24/7 and alert you to anomalies — what would you stop doing manually?"</w:t>
      </w:r>
    </w:p>
    <w:p>
      <w:pPr>
        <w:spacing w:after="100" w:before="60"/>
      </w:pPr>
      <w:r>
        <w:rPr>
          <w:rFonts w:ascii="Inter" w:cs="Inter" w:eastAsia="Inter" w:hAnsi="Inter"/>
          <w:color w:val="54565A"/>
          <w:sz w:val="20"/>
          <w:szCs w:val="20"/>
        </w:rPr>
        <w:t xml:space="preserve">Deploy AI agents that proactively monitor data quality and operational metrics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combine structured data with document intelligence in natural language conversations</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shift from reactive analytics to proactive, AI-driven operational intelligence</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Discovery Agent is proactive AI — it finds anomalies you didn't know to look for</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MCP turns Claude into a data analyst that queries real-time Qlik data, not just general knowledge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Claude combines structured data (Lakehouse queries) with document intelligence (Answers) in one response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Every MCP response is traceable: which data products were queried, which documents were cited</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same MCP server (preview) also serves coding agents — governance in the IDE, not just the chat window (see Modules 14-18)</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This is the vision: AI agents that understand your entire data landscape, not just one dashboard</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13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2026-09-21T20:26:54.280Z</dcterms:created>
  <dcterms:modified xsi:type="dcterms:W3CDTF">2026-09-21T20:26:54.280Z</dcterms:modified>
</cp:coreProperties>
</file>

<file path=docProps/custom.xml><?xml version="1.0" encoding="utf-8"?>
<Properties xmlns="http://schemas.openxmlformats.org/officeDocument/2006/custom-properties" xmlns:vt="http://schemas.openxmlformats.org/officeDocument/2006/docPropsVTypes"/>
</file>