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6580" w:sz="2" w:space="4"/>
        </w:pBdr>
        <w:spacing w:after="160" w:before="360"/>
      </w:pPr>
      <w:r>
        <w:rPr>
          <w:rFonts w:ascii="Inter" w:cs="Inter" w:eastAsia="Inter" w:hAnsi="Inter"/>
          <w:b/>
          <w:bCs/>
          <w:color w:val="19416C"/>
          <w:sz w:val="30"/>
          <w:szCs w:val="30"/>
        </w:rPr>
        <w:t xml:space="preserve">Module 16: Data Quality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Duration</w:t>
            </w:r>
          </w:p>
        </w:tc>
        <w:tc>
          <w:tcPr>
            <w:tcW w:type="pct" w:w="70%"/>
            <w:shd w:color="F6F7F8" w:val="solid"/>
            <w:tcMar>
              <w:top w:type="dxa" w:w="40"/>
              <w:left w:type="dxa" w:w="100"/>
              <w:bottom w:type="dxa" w:w="40"/>
              <w:right w:type="dxa" w:w="100"/>
            </w:tcMar>
          </w:tcPr>
          <w:p>
            <w:pPr>
              <w:spacing w:after="0"/>
            </w:pPr>
            <w:r>
              <w:rPr>
                <w:rFonts w:ascii="Inter" w:cs="Inter" w:eastAsia="Inter" w:hAnsi="Inter"/>
                <w:color w:val="54565A"/>
                <w:sz w:val="20"/>
                <w:szCs w:val="20"/>
              </w:rPr>
              <w:t xml:space="preserve">8-10 minutes</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Checklist Phase</w:t>
            </w:r>
          </w:p>
        </w:tc>
        <w:tc>
          <w:tcPr>
            <w:tcW w:type="pct" w:w="70%"/>
            <w:shd w:color="F6F7F8" w:val="solid"/>
            <w:tcMar>
              <w:top w:type="dxa" w:w="40"/>
              <w:left w:type="dxa" w:w="100"/>
              <w:bottom w:type="dxa" w:w="40"/>
              <w:right w:type="dxa" w:w="100"/>
            </w:tcMar>
          </w:tcPr>
          <w:p>
            <w:pPr>
              <w:spacing w:after="0"/>
            </w:pPr>
            <w:r>
              <w:rPr>
                <w:rFonts w:ascii="Inter" w:cs="Inter" w:eastAsia="Inter" w:hAnsi="Inter"/>
                <w:color w:val="54565A"/>
                <w:sz w:val="20"/>
                <w:szCs w:val="20"/>
              </w:rPr>
              <w:t xml:space="preserve">Phase 3b / Phase 8 (Stewardship) — Agentic Data Engineering</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Nightmares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54565A"/>
                <w:sz w:val="20"/>
                <w:szCs w:val="20"/>
              </w:rPr>
              <w:t xml:space="preserve">#1 (Phantom Inventory), #3 (Product Master Mess), #7 (Compliance Traceability Gap)</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Components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54565A"/>
                <w:sz w:val="20"/>
                <w:szCs w:val="20"/>
              </w:rPr>
              <w:t xml:space="preserve">Data Quality Agent (a Qlik Answers capability), Silver datasets, Qlik Stewardship</w:t>
            </w:r>
          </w:p>
        </w:tc>
      </w:tr>
    </w:tbl>
    <w:p>
      <w:pPr>
        <w:spacing w:after="120" w:before="80"/>
      </w:pPr>
      <w:r>
        <w:rPr>
          <w:rFonts w:ascii="Inter" w:cs="Inter" w:eastAsia="Inter" w:hAnsi="Inter"/>
          <w:b/>
          <w:bCs/>
          <w:color w:val="006580"/>
          <w:sz w:val="20"/>
          <w:szCs w:val="20"/>
        </w:rPr>
        <w:t xml:space="preserve">Project Qlarity context:  </w:t>
      </w:r>
      <w:r>
        <w:rPr>
          <w:rFonts w:ascii="Inter" w:cs="Inter" w:eastAsia="Inter" w:hAnsi="Inter"/>
          <w:i/>
          <w:iCs/>
          <w:color w:val="54565A"/>
          <w:sz w:val="20"/>
          <w:szCs w:val="20"/>
        </w:rPr>
        <w:t xml:space="preserve">Project Qlarity Phase 2 (Analytics &amp; Quality): data quality as a conversation for the steward. The DQ rules that gate the Silver layer are assessed, authored, and mapped in plain language, then feed the Stewardship sprints (Module 10).</w:t>
      </w:r>
    </w:p>
    <w:p>
      <w:pPr>
        <w:spacing w:after="120" w:before="280"/>
      </w:pPr>
      <w:r>
        <w:rPr>
          <w:rFonts w:ascii="Inter" w:cs="Inter" w:eastAsia="Inter" w:hAnsi="Inter"/>
          <w:b/>
          <w:bCs/>
          <w:color w:val="006580"/>
          <w:sz w:val="26"/>
          <w:szCs w:val="26"/>
        </w:rPr>
        <w:t xml:space="preserve">Overview</w:t>
      </w:r>
    </w:p>
    <w:p>
      <w:pPr>
        <w:spacing w:after="120"/>
        <w:jc w:val="left"/>
      </w:pPr>
      <w:r>
        <w:rPr>
          <w:rFonts w:ascii="Inter" w:cs="Inter" w:eastAsia="Inter" w:hAnsi="Inter"/>
          <w:b w:val="false"/>
          <w:bCs w:val="false"/>
          <w:i w:val="false"/>
          <w:iCs w:val="false"/>
          <w:color w:val="54565A"/>
          <w:sz w:val="21"/>
          <w:szCs w:val="21"/>
        </w:rPr>
        <w:t xml:space="preserve">The Data Quality Agent supports data stewards in assessing, defining, and enforcing data-quality rules conversationally: assess DQ across datasets, create/manage/map DQ rules, and run DQ metric calculations. It bridges business and technical users — a steward describes the rule in business terms, and the agent expresses, maps, and measures it. In the MCG demo the steward works the Silver layer: silver.inventory_reconciled, silver.addresses_standardized, silver.products_harmonized.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54565A"/>
                <w:sz w:val="20"/>
                <w:szCs w:val="20"/>
              </w:rPr>
              <w:t xml:space="preserve">This is a Qlik Answers capability, not a separate product. It is the conversational front door to the same DQ rules and metrics — it bridges the business steward and the platform without a hand-off.</w:t>
            </w:r>
          </w:p>
        </w:tc>
      </w:tr>
    </w:tbl>
    <w:p>
      <w:pPr>
        <w:spacing w:after="120" w:before="280"/>
      </w:pPr>
      <w:r>
        <w:rPr>
          <w:rFonts w:ascii="Inter" w:cs="Inter" w:eastAsia="Inter" w:hAnsi="Inter"/>
          <w:b/>
          <w:bCs/>
          <w:color w:val="006580"/>
          <w:sz w:val="26"/>
          <w:szCs w:val="26"/>
        </w:rPr>
        <w:t xml:space="preserve">Demo Methodology: Tell → Show → Tell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19416C" w:val="solid"/>
          </w:tcPr>
          <w:p>
            <w:pPr>
              <w:spacing w:after="0"/>
            </w:pPr>
            <w:r>
              <w:rPr>
                <w:sz w:val="10"/>
                <w:szCs w:val="10"/>
              </w:rPr>
              <w:t xml:space="preserve"> </w:t>
            </w:r>
          </w:p>
        </w:tc>
        <w:tc>
          <w:tcPr>
            <w:tcW w:type="pct" w:w="98%"/>
            <w:shd w:color="E3EAF3" w:val="solid"/>
            <w:tcMar>
              <w:top w:type="dxa" w:w="60"/>
              <w:left w:type="dxa" w:w="120"/>
              <w:bottom w:type="dxa" w:w="60"/>
              <w:right w:type="dxa" w:w="120"/>
            </w:tcMar>
          </w:tcPr>
          <w:p>
            <w:pPr>
              <w:spacing w:after="40"/>
            </w:pPr>
            <w:r>
              <w:rPr>
                <w:rFonts w:ascii="Inter" w:cs="Inter" w:eastAsia="Inter" w:hAnsi="Inter"/>
                <w:b/>
                <w:bCs/>
                <w:color w:val="19416C"/>
                <w:sz w:val="18"/>
                <w:szCs w:val="18"/>
              </w:rPr>
              <w:t xml:space="preserve">Limbic Opening  (Illustrative Analogy)</w:t>
            </w:r>
          </w:p>
          <w:p>
            <w:pPr>
              <w:spacing w:after="0"/>
            </w:pPr>
            <w:r>
              <w:rPr>
                <w:rFonts w:ascii="Inter" w:cs="Inter" w:eastAsia="Inter" w:hAnsi="Inter"/>
                <w:i/>
                <w:iCs/>
                <w:color w:val="54565A"/>
                <w:sz w:val="20"/>
                <w:szCs w:val="20"/>
              </w:rPr>
              <w:t xml:space="preserve">Sophie Müller knows exactly what a good customer address looks like — but she is not going to write a regex or a SQL constraint, and the engineer who can does not know the business rule. That gap is where bad data slips through. The Data Quality Agent lets the steward state the rule in plain language and turns it into an enforced check.</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54565A"/>
          <w:sz w:val="20"/>
          <w:szCs w:val="20"/>
        </w:rPr>
        <w:t xml:space="preserve">"When a business expert spots a data-quality rule, how many hand-offs does it take before that rule is actually enforced?"</w:t>
      </w:r>
    </w:p>
    <w:p>
      <w:pPr>
        <w:spacing w:after="120" w:before="280"/>
      </w:pPr>
      <w:r>
        <w:rPr>
          <w:rFonts w:ascii="Inter" w:cs="Inter" w:eastAsia="Inter" w:hAnsi="Inter"/>
          <w:b/>
          <w:bCs/>
          <w:color w:val="006580"/>
          <w:sz w:val="26"/>
          <w:szCs w:val="26"/>
        </w:rPr>
        <w:t xml:space="preserve">Demo Walk-Through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6580" w:sz="1"/>
              <w:left w:val="single" w:color="006580" w:sz="6"/>
              <w:bottom w:val="single" w:color="006580" w:sz="1"/>
              <w:right w:val="none"/>
            </w:tcBorders>
            <w:shd w:color="E0F2F5" w:val="solid"/>
            <w:tcMar>
              <w:top w:type="dxa" w:w="40"/>
              <w:left w:type="dxa" w:w="120"/>
              <w:bottom w:type="dxa" w:w="40"/>
              <w:right w:type="dxa" w:w="120"/>
            </w:tcMar>
          </w:tcPr>
          <w:p>
            <w:pPr>
              <w:spacing w:after="30"/>
            </w:pPr>
            <w:r>
              <w:rPr>
                <w:rFonts w:ascii="Inter" w:cs="Inter" w:eastAsia="Inter" w:hAnsi="Inter"/>
                <w:b/>
                <w:bCs/>
                <w:color w:val="006580"/>
                <w:sz w:val="16"/>
                <w:szCs w:val="16"/>
              </w:rPr>
              <w:t xml:space="preserve">TELL (before showing)</w:t>
            </w:r>
          </w:p>
          <w:p>
            <w:pPr>
              <w:spacing w:after="0"/>
            </w:pPr>
            <w:r>
              <w:rPr>
                <w:rFonts w:ascii="Inter" w:cs="Inter" w:eastAsia="Inter" w:hAnsi="Inter"/>
                <w:i/>
                <w:iCs/>
                <w:color w:val="54565A"/>
                <w:sz w:val="18"/>
                <w:szCs w:val="18"/>
              </w:rPr>
              <w:t xml:space="preserve">I'll put a steward in front of the Silver layer and let them assess quality, write a rule in business language, and map it across datasets — no SQL, no ticket to engineering.</w:t>
            </w:r>
          </w:p>
        </w:tc>
      </w:tr>
    </w:tbl>
    <w:p>
      <w:pPr>
        <w:spacing w:after="100" w:before="200"/>
      </w:pPr>
      <w:r>
        <w:rPr>
          <w:rFonts w:ascii="Inter" w:cs="Inter" w:eastAsia="Inter" w:hAnsi="Inter"/>
          <w:b/>
          <w:bCs/>
          <w:color w:val="19416C"/>
          <w:sz w:val="22"/>
          <w:szCs w:val="22"/>
        </w:rPr>
        <w:t xml:space="preserve">Step 1: Assess Data Quality</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54565A"/>
          <w:sz w:val="21"/>
          <w:szCs w:val="21"/>
        </w:rPr>
        <w:t xml:space="preserve">Open the Data Quality Agent (Qlik Answers) as the steward (Sophie Müller, Customer Data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the Data Quality Agent</w:t>
            </w:r>
          </w:p>
          <w:p>
            <w:pPr>
              <w:spacing w:after="0"/>
            </w:pPr>
            <w:r>
              <w:rPr>
                <w:rFonts w:ascii="Inter" w:cs="Inter" w:eastAsia="Inter" w:hAnsi="Inter"/>
                <w:color w:val="54565A"/>
                <w:sz w:val="20"/>
                <w:szCs w:val="20"/>
              </w:rPr>
              <w:t xml:space="preserve">Assess the data quality of silver.inventory_reconciled. Where are the biggest gaps?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54565A"/>
                <w:sz w:val="20"/>
                <w:szCs w:val="20"/>
              </w:rPr>
              <w:t xml:space="preserve">The agent profiles the dataset and reports issues in business terms — 15% of perishable items have no lot_number, timestamp columns with mixed formats, ira_pct values outside 0-1 — ranked by impact.</w:t>
            </w:r>
          </w:p>
        </w:tc>
      </w:tr>
    </w:tbl>
    <w:p>
      <w:pPr>
        <w:spacing w:after="100" w:before="200"/>
      </w:pPr>
      <w:r>
        <w:rPr>
          <w:rFonts w:ascii="Inter" w:cs="Inter" w:eastAsia="Inter" w:hAnsi="Inter"/>
          <w:b/>
          <w:bCs/>
          <w:color w:val="19416C"/>
          <w:sz w:val="22"/>
          <w:szCs w:val="22"/>
        </w:rPr>
        <w:t xml:space="preserve">Step 2: Define a Rule Conversationally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the Data Quality Agent</w:t>
            </w:r>
          </w:p>
          <w:p>
            <w:pPr>
              <w:spacing w:after="0"/>
            </w:pPr>
            <w:r>
              <w:rPr>
                <w:rFonts w:ascii="Inter" w:cs="Inter" w:eastAsia="Inter" w:hAnsi="Inter"/>
                <w:color w:val="54565A"/>
                <w:sz w:val="20"/>
                <w:szCs w:val="20"/>
              </w:rPr>
              <w:t xml:space="preserve">Add a rule: every perishable item must have a lot number. Flag any that don't.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54565A"/>
                <w:sz w:val="20"/>
                <w:szCs w:val="20"/>
              </w:rPr>
              <w:t xml:space="preserve">The agent expresses the rule (lot_number NOT NULL when perishable = TRUE), names it, and shows how many current records violate it — grounding the abstract rule in a real count before you commit.</w:t>
            </w:r>
          </w:p>
        </w:tc>
      </w:tr>
    </w:tbl>
    <w:p>
      <w:pPr>
        <w:spacing w:after="100" w:before="200"/>
      </w:pPr>
      <w:r>
        <w:rPr>
          <w:rFonts w:ascii="Inter" w:cs="Inter" w:eastAsia="Inter" w:hAnsi="Inter"/>
          <w:b/>
          <w:bCs/>
          <w:color w:val="19416C"/>
          <w:sz w:val="22"/>
          <w:szCs w:val="22"/>
        </w:rPr>
        <w:t xml:space="preserve">Step 3: Map &amp; Run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the Data Quality Agent</w:t>
            </w:r>
          </w:p>
          <w:p>
            <w:pPr>
              <w:spacing w:after="0"/>
            </w:pPr>
            <w:r>
              <w:rPr>
                <w:rFonts w:ascii="Inter" w:cs="Inter" w:eastAsia="Inter" w:hAnsi="Inter"/>
                <w:color w:val="54565A"/>
                <w:sz w:val="20"/>
                <w:szCs w:val="20"/>
              </w:rPr>
              <w:t xml:space="preserve">Map that rule to all perishable datasets and run the completeness metric.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54565A"/>
                <w:sz w:val="20"/>
                <w:szCs w:val="20"/>
              </w:rPr>
              <w:t xml:space="preserve">The agent maps the rule across the relevant Silver datasets and runs the DQ metric calculation, returning the completeness score and the violating record set.</w:t>
            </w:r>
          </w:p>
        </w:tc>
      </w:tr>
    </w:tbl>
    <w:p>
      <w:pPr>
        <w:spacing w:after="100" w:before="200"/>
      </w:pPr>
      <w:r>
        <w:rPr>
          <w:rFonts w:ascii="Inter" w:cs="Inter" w:eastAsia="Inter" w:hAnsi="Inter"/>
          <w:b/>
          <w:bCs/>
          <w:color w:val="19416C"/>
          <w:sz w:val="22"/>
          <w:szCs w:val="22"/>
        </w:rPr>
        <w:t xml:space="preserve">Step 4: Enforce &amp; Route to Stewardship</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54565A"/>
          <w:sz w:val="21"/>
          <w:szCs w:val="21"/>
        </w:rPr>
        <w:t xml:space="preserve">Send the violations to the Lot Number Compliance sprint (Module 10) — the agent-authored rule becomes the enforced gate, and the human-judgment cases go to warehouse supervisors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54565A"/>
                <w:sz w:val="20"/>
                <w:szCs w:val="20"/>
              </w:rPr>
              <w:t xml:space="preserve">Talking point: the steward wrote a data-quality rule in one sentence, saw exactly how many records break it, and routed the rest to a human-in-the-loop sprint — the closed-loop quality cycle, driven from the steward's own language.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9845" w:sz="1"/>
              <w:left w:val="single" w:color="009845" w:sz="6"/>
              <w:bottom w:val="single" w:color="009845" w:sz="1"/>
              <w:right w:val="none"/>
            </w:tcBorders>
            <w:shd w:color="E0F5EA" w:val="solid"/>
            <w:tcMar>
              <w:top w:type="dxa" w:w="40"/>
              <w:left w:type="dxa" w:w="120"/>
              <w:bottom w:type="dxa" w:w="40"/>
              <w:right w:type="dxa" w:w="120"/>
            </w:tcMar>
          </w:tcPr>
          <w:p>
            <w:pPr>
              <w:spacing w:after="30"/>
            </w:pPr>
            <w:r>
              <w:rPr>
                <w:rFonts w:ascii="Inter" w:cs="Inter" w:eastAsia="Inter" w:hAnsi="Inter"/>
                <w:b/>
                <w:bCs/>
                <w:color w:val="009845"/>
                <w:sz w:val="16"/>
                <w:szCs w:val="16"/>
              </w:rPr>
              <w:t xml:space="preserve">TELL (after showing)</w:t>
            </w:r>
          </w:p>
          <w:p>
            <w:pPr>
              <w:spacing w:after="0"/>
            </w:pPr>
            <w:r>
              <w:rPr>
                <w:rFonts w:ascii="Inter" w:cs="Inter" w:eastAsia="Inter" w:hAnsi="Inter"/>
                <w:i/>
                <w:iCs/>
                <w:color w:val="54565A"/>
                <w:sz w:val="18"/>
                <w:szCs w:val="18"/>
              </w:rPr>
              <w:t xml:space="preserve">A steward assessed a Silver dataset, wrote a rule in plain language, saw the real violation count, mapped it across datasets, and routed the ambiguous cases to a sprint — start to finish, without a hand-off to engineering.</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54565A"/>
          <w:sz w:val="20"/>
          <w:szCs w:val="20"/>
        </w:rPr>
        <w:t xml:space="preserve">"Which of your data-quality rules live only in someone's head today — and what would it take to make them enforced instead?"</w:t>
      </w:r>
    </w:p>
    <w:p>
      <w:pPr>
        <w:spacing w:after="100" w:before="60"/>
      </w:pPr>
      <w:r>
        <w:rPr>
          <w:rFonts w:ascii="Inter" w:cs="Inter" w:eastAsia="Inter" w:hAnsi="Inter"/>
          <w:color w:val="54565A"/>
          <w:sz w:val="20"/>
          <w:szCs w:val="20"/>
        </w:rPr>
        <w:t xml:space="preserve">Let a steward assess data quality across datasets in plain language</w:t>
      </w:r>
      <w:r>
        <w:rPr>
          <w:rFonts w:ascii="Inter" w:cs="Inter" w:eastAsia="Inter" w:hAnsi="Inter"/>
          <w:b/>
          <w:bCs/>
          <w:color w:val="009845"/>
          <w:sz w:val="20"/>
          <w:szCs w:val="20"/>
        </w:rPr>
        <w:t xml:space="preserve">  →  so you can  </w:t>
      </w:r>
      <w:r>
        <w:rPr>
          <w:rFonts w:ascii="Inter" w:cs="Inter" w:eastAsia="Inter" w:hAnsi="Inter"/>
          <w:color w:val="54565A"/>
          <w:sz w:val="20"/>
          <w:szCs w:val="20"/>
        </w:rPr>
        <w:t xml:space="preserve">turn a business rule into an enforced, mapped DQ check with live violation counts</w:t>
      </w:r>
      <w:r>
        <w:rPr>
          <w:rFonts w:ascii="Inter" w:cs="Inter" w:eastAsia="Inter" w:hAnsi="Inter"/>
          <w:b/>
          <w:bCs/>
          <w:color w:val="009845"/>
          <w:sz w:val="20"/>
          <w:szCs w:val="20"/>
        </w:rPr>
        <w:t xml:space="preserve">  →  so you can  </w:t>
      </w:r>
      <w:r>
        <w:rPr>
          <w:rFonts w:ascii="Inter" w:cs="Inter" w:eastAsia="Inter" w:hAnsi="Inter"/>
          <w:color w:val="54565A"/>
          <w:sz w:val="20"/>
          <w:szCs w:val="20"/>
        </w:rPr>
        <w:t xml:space="preserve">route what's left to human-in-the-loop stewardship</w:t>
      </w:r>
    </w:p>
    <w:p>
      <w:pPr>
        <w:spacing w:after="120" w:before="280"/>
      </w:pPr>
      <w:r>
        <w:rPr>
          <w:rFonts w:ascii="Inter" w:cs="Inter" w:eastAsia="Inter" w:hAnsi="Inter"/>
          <w:b/>
          <w:bCs/>
          <w:color w:val="006580"/>
          <w:sz w:val="26"/>
          <w:szCs w:val="26"/>
        </w:rPr>
        <w:t xml:space="preserve">Talking Points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The Data Quality Agent is a Qlik Answers capability, not a standalone SKU</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It bridges business and technical: the steward states the rule, the agent expresses, maps, and measures it</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Assess, define, map, and run DQ metrics — all conversationally, on the Silver layer</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Every rule is grounded in a real violation count before it is committed — no abstract rules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Agent-authored rules feed the Stewardship sprints (Module 10) — the closed-loop data quality cycle</w:t>
      </w:r>
    </w:p>
    <w:p>
      <w:pPr>
        <w:spacing w:after="120" w:before="280"/>
      </w:pPr>
      <w:r>
        <w:rPr>
          <w:rFonts w:ascii="Inter" w:cs="Inter" w:eastAsia="Inter" w:hAnsi="Inter"/>
          <w:b/>
          <w:bCs/>
          <w:color w:val="006580"/>
          <w:sz w:val="26"/>
          <w:szCs w:val="26"/>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Issue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Cause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Fix</w:t>
            </w:r>
          </w:p>
        </w:tc>
      </w:tr>
      <w:tr>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Agent returns no issues</w:t>
            </w:r>
          </w:p>
        </w:tc>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Dataset already clean or wrong name</w:t>
            </w:r>
          </w:p>
        </w:tc>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Confirm the Silver dataset name; try silver.addresses_standardized or silver.products_harmonized</w:t>
            </w:r>
          </w:p>
        </w:tc>
      </w:tr>
      <w:tr>
        <w:tc>
          <w:tcPr>
            <w:tcMar>
              <w:top w:type="dxa" w:w="30"/>
              <w:left w:type="dxa" w:w="80"/>
              <w:bottom w:type="dxa" w:w="30"/>
              <w:right w:type="dxa" w:w="80"/>
            </w:tcMar>
          </w:tcPr>
          <w:p>
            <w:pPr>
              <w:spacing w:after="0"/>
            </w:pPr>
            <w:r>
              <w:rPr>
                <w:rFonts w:ascii="Inter" w:cs="Inter" w:eastAsia="Inter" w:hAnsi="Inter"/>
                <w:color w:val="54565A"/>
                <w:sz w:val="19"/>
                <w:szCs w:val="19"/>
              </w:rPr>
              <w:t xml:space="preserve">Rule maps to too many datasets</w:t>
            </w:r>
          </w:p>
        </w:tc>
        <w:tc>
          <w:tcPr>
            <w:tcMar>
              <w:top w:type="dxa" w:w="30"/>
              <w:left w:type="dxa" w:w="80"/>
              <w:bottom w:type="dxa" w:w="30"/>
              <w:right w:type="dxa" w:w="80"/>
            </w:tcMar>
          </w:tcPr>
          <w:p>
            <w:pPr>
              <w:spacing w:after="0"/>
            </w:pPr>
            <w:r>
              <w:rPr>
                <w:rFonts w:ascii="Inter" w:cs="Inter" w:eastAsia="Inter" w:hAnsi="Inter"/>
                <w:color w:val="54565A"/>
                <w:sz w:val="19"/>
                <w:szCs w:val="19"/>
              </w:rPr>
              <w:t xml:space="preserve">Over-broad mapping request</w:t>
            </w:r>
          </w:p>
        </w:tc>
        <w:tc>
          <w:tcPr>
            <w:tcMar>
              <w:top w:type="dxa" w:w="30"/>
              <w:left w:type="dxa" w:w="80"/>
              <w:bottom w:type="dxa" w:w="30"/>
              <w:right w:type="dxa" w:w="80"/>
            </w:tcMar>
          </w:tcPr>
          <w:p>
            <w:pPr>
              <w:spacing w:after="0"/>
            </w:pPr>
            <w:r>
              <w:rPr>
                <w:rFonts w:ascii="Inter" w:cs="Inter" w:eastAsia="Inter" w:hAnsi="Inter"/>
                <w:color w:val="54565A"/>
                <w:sz w:val="19"/>
                <w:szCs w:val="19"/>
              </w:rPr>
              <w:t xml:space="preserve">Ask the agent to list the datasets it will map to and confirm before applying</w:t>
            </w:r>
          </w:p>
        </w:tc>
      </w:tr>
      <w:tr>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Violation count looks wrong</w:t>
            </w:r>
          </w:p>
        </w:tc>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Metric run against a stale snapshot</w:t>
            </w:r>
          </w:p>
        </w:tc>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Ask the agent to re-run the metric after the latest Silver refresh</w:t>
            </w:r>
          </w:p>
        </w:tc>
      </w:tr>
      <w:tr>
        <w:tc>
          <w:tcPr>
            <w:tcMar>
              <w:top w:type="dxa" w:w="30"/>
              <w:left w:type="dxa" w:w="80"/>
              <w:bottom w:type="dxa" w:w="30"/>
              <w:right w:type="dxa" w:w="80"/>
            </w:tcMar>
          </w:tcPr>
          <w:p>
            <w:pPr>
              <w:spacing w:after="0"/>
            </w:pPr>
            <w:r>
              <w:rPr>
                <w:rFonts w:ascii="Inter" w:cs="Inter" w:eastAsia="Inter" w:hAnsi="Inter"/>
                <w:color w:val="54565A"/>
                <w:sz w:val="19"/>
                <w:szCs w:val="19"/>
              </w:rPr>
              <w:t xml:space="preserve">Steward can't access the agent</w:t>
            </w:r>
          </w:p>
        </w:tc>
        <w:tc>
          <w:tcPr>
            <w:tcMar>
              <w:top w:type="dxa" w:w="30"/>
              <w:left w:type="dxa" w:w="80"/>
              <w:bottom w:type="dxa" w:w="30"/>
              <w:right w:type="dxa" w:w="80"/>
            </w:tcMar>
          </w:tcPr>
          <w:p>
            <w:pPr>
              <w:spacing w:after="0"/>
            </w:pPr>
            <w:r>
              <w:rPr>
                <w:rFonts w:ascii="Inter" w:cs="Inter" w:eastAsia="Inter" w:hAnsi="Inter"/>
                <w:color w:val="54565A"/>
                <w:sz w:val="19"/>
                <w:szCs w:val="19"/>
              </w:rPr>
              <w:t xml:space="preserve">Space / role permissions</w:t>
            </w:r>
          </w:p>
        </w:tc>
        <w:tc>
          <w:tcPr>
            <w:tcMar>
              <w:top w:type="dxa" w:w="30"/>
              <w:left w:type="dxa" w:w="80"/>
              <w:bottom w:type="dxa" w:w="30"/>
              <w:right w:type="dxa" w:w="80"/>
            </w:tcMar>
          </w:tcPr>
          <w:p>
            <w:pPr>
              <w:spacing w:after="0"/>
            </w:pPr>
            <w:r>
              <w:rPr>
                <w:rFonts w:ascii="Inter" w:cs="Inter" w:eastAsia="Inter" w:hAnsi="Inter"/>
                <w:color w:val="54565A"/>
                <w:sz w:val="19"/>
                <w:szCs w:val="19"/>
              </w:rPr>
              <w:t xml:space="preserve">Grant the steward access to the data space and the Answers assistant</w:t>
            </w:r>
          </w:p>
        </w:tc>
      </w:tr>
    </w:tbl>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845" w:sz="4" w:space="4"/>
      </w:pBdr>
      <w:spacing w:before="0"/>
    </w:pPr>
    <w:r>
      <w:rPr>
        <w:sz w:val="4"/>
        <w:szCs w:val="4"/>
      </w:rPr>
      <w:t xml:space="preserve"/>
    </w:r>
  </w:p>
  <w:p>
    <w:pPr>
      <w:spacing w:after="0" w:before="0"/>
      <w:jc w:val="center"/>
    </w:pPr>
    <w:r>
      <w:rPr>
        <w:rFonts w:ascii="Inter" w:cs="Inter" w:eastAsia="Inter" w:hAnsi="Inter"/>
        <w:color w:val="54565A"/>
        <w:sz w:val="14"/>
        <w:szCs w:val="14"/>
      </w:rPr>
      <w:t xml:space="preserve">Qlik</w:t>
    </w:r>
  </w:p>
  <w:p>
    <w:pPr>
      <w:spacing w:after="0" w:before="40"/>
      <w:jc w:val="center"/>
    </w:pPr>
    <w:r>
      <w:rPr>
        <w:rFonts w:ascii="Inter" w:cs="Inter" w:eastAsia="Inter" w:hAnsi="Inter"/>
        <w:b/>
        <w:bCs/>
        <w:color w:val="009845"/>
        <w:sz w:val="13"/>
        <w:szCs w:val="13"/>
      </w:rPr>
      <w:t xml:space="preserve">CONFIDENTIAL — </w:t>
    </w:r>
    <w:r>
      <w:rPr>
        <w:rFonts w:ascii="Inter" w:cs="Inter" w:eastAsia="Inter" w:hAnsi="Inter"/>
        <w:color w:val="54565A"/>
        <w:sz w:val="13"/>
        <w:szCs w:val="13"/>
      </w:rPr>
      <w:t xml:space="preserve">Page </w:t>
    </w:r>
    <w:r>
      <w:rPr>
        <w:rFonts w:ascii="Inter" w:cs="Inter" w:eastAsia="Inter" w:hAnsi="Inter"/>
        <w:color w:val="54565A"/>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drawing>
        <wp:inline distT="0" distB="0" distL="0" distR="0">
          <wp:extent cx="11239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628650"/>
                  </a:xfrm>
                  <a:prstGeom prst="rect">
                    <a:avLst/>
                  </a:prstGeom>
                </pic:spPr>
              </pic:pic>
            </a:graphicData>
          </a:graphic>
        </wp:inline>
      </w:drawing>
    </w:r>
  </w:p>
  <w:p>
    <w:pPr>
      <w:pBdr>
        <w:bottom w:val="single" w:color="009845" w:sz="8" w:space="4"/>
      </w:pBdr>
      <w:spacing w:after="0"/>
    </w:pPr>
    <w:r>
      <w:rPr>
        <w:sz w:val="4"/>
        <w:szCs w:val="4"/>
      </w:rPr>
      <w:t xml:space="preserve"/>
    </w:r>
  </w:p>
  <w:p>
    <w:pPr>
      <w:spacing w:after="0" w:before="60"/>
      <w:jc w:val="right"/>
    </w:pPr>
    <w:r>
      <w:rPr>
        <w:rFonts w:ascii="Inter" w:cs="Inter" w:eastAsia="Inter" w:hAnsi="Inter"/>
        <w:b/>
        <w:bCs/>
        <w:caps/>
        <w:color w:val="009845"/>
        <w:sz w:val="18"/>
        <w:szCs w:val="18"/>
      </w:rPr>
      <w:t xml:space="preserve">Project Qlarity Demo Walkthrough — Module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54565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Inter" w:cs="Inter" w:eastAsia="Inter" w:hAnsi="Inter"/>
      <w:b/>
      <w:bCs/>
      <w:color w:val="19416C"/>
      <w:sz w:val="32"/>
      <w:szCs w:val="32"/>
    </w:rPr>
  </w:style>
  <w:style w:type="paragraph" w:styleId="Heading2">
    <w:name w:val="Heading 2"/>
    <w:basedOn w:val="Normal"/>
    <w:next w:val="Normal"/>
    <w:qFormat/>
    <w:pPr>
      <w:spacing w:after="160" w:before="300"/>
    </w:pPr>
    <w:rPr>
      <w:rFonts w:ascii="Inter" w:cs="Inter" w:eastAsia="Inter" w:hAnsi="Inter"/>
      <w:b/>
      <w:bCs/>
      <w:color w:val="006580"/>
      <w:sz w:val="26"/>
      <w:szCs w:val="26"/>
    </w:rPr>
  </w:style>
  <w:style w:type="paragraph" w:styleId="Heading3">
    <w:name w:val="Heading 3"/>
    <w:basedOn w:val="Normal"/>
    <w:next w:val="Normal"/>
    <w:qFormat/>
    <w:pPr>
      <w:spacing w:after="120" w:before="240"/>
    </w:pPr>
    <w:rPr>
      <w:rFonts w:ascii="Inter" w:cs="Inter" w:eastAsia="Inter" w:hAnsi="Inter"/>
      <w:b/>
      <w:bCs/>
      <w:color w:val="19416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7640a0f90dc3934f67c3c21f9f3a340ffef73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2026-09-21T20:26:54.362Z</dcterms:created>
  <dcterms:modified xsi:type="dcterms:W3CDTF">2026-09-21T20:26:54.362Z</dcterms:modified>
</cp:coreProperties>
</file>

<file path=docProps/custom.xml><?xml version="1.0" encoding="utf-8"?>
<Properties xmlns="http://schemas.openxmlformats.org/officeDocument/2006/custom-properties" xmlns:vt="http://schemas.openxmlformats.org/officeDocument/2006/docPropsVTypes"/>
</file>