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Q3 2025 Supply Chain Performance Review — Meeting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Meeting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MTG-2025-Q3-SCR</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Date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15 October 2025, 09:00-12:30 CET</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Location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MCG HQ Rotterdam, Board Room A (hybrid — 6 in person, 4 virtual)</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Chair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Ingrid van der Berg, CEO</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Minutes By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Priya Ramanathan, CDO</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Classification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Confidential — Senior Leadership Only</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Next Meeting</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Q4 2025 Review: 15 January 2026, 09:00 CET</w:t>
            </w:r>
          </w:p>
        </w:tc>
      </w:tr>
    </w:tbl>
    <w:p>
      <w:pPr>
        <w:pBdr>
          <w:bottom w:val="single" w:color="0D7C8F" w:sz="2" w:space="4"/>
        </w:pBdr>
        <w:spacing w:after="160" w:before="360"/>
      </w:pPr>
      <w:r>
        <w:rPr>
          <w:rFonts w:ascii="Calibri" w:cs="Calibri" w:eastAsia="Calibri" w:hAnsi="Calibri"/>
          <w:b/>
          <w:bCs/>
          <w:color w:val="1B2A4A"/>
          <w:sz w:val="30"/>
          <w:szCs w:val="30"/>
        </w:rPr>
        <w:t xml:space="preserve">Attendees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Name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Title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Attendance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Ingrid van der Berg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CEO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person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Marcus Chen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CIO</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 person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Priya Ramanathan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CDO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person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Thomas Brennan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 person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Henrik Jansen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Warehouse Operations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person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Dr. Elena Vasquez</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Chief Compliance Officer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 person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Lisa Park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Head of Customer Experience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Virtual (Seoul)</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Carlos Rivera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Director of Logistics, Americas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Virtual (Miami)</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Wei Lin Tan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Regional Logistics Manager, APAC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Virtual (Singapore)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Roberto Almeida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LATAM Operations Director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Virtual (São Paulo)</w:t>
            </w:r>
          </w:p>
        </w:tc>
      </w:tr>
    </w:tbl>
    <w:p>
      <w:pPr>
        <w:pBdr>
          <w:bottom w:val="single" w:color="0D7C8F" w:sz="2" w:space="4"/>
        </w:pBdr>
        <w:spacing w:after="160" w:before="360"/>
      </w:pPr>
      <w:r>
        <w:rPr>
          <w:rFonts w:ascii="Calibri" w:cs="Calibri" w:eastAsia="Calibri" w:hAnsi="Calibri"/>
          <w:b/>
          <w:bCs/>
          <w:color w:val="1B2A4A"/>
          <w:sz w:val="30"/>
          <w:szCs w:val="30"/>
        </w:rPr>
        <w:t xml:space="preserve">1. Opening — CEO Statement</w:t>
      </w:r>
    </w:p>
    <w:p>
      <w:pPr>
        <w:spacing w:after="120"/>
        <w:jc w:val="left"/>
      </w:pPr>
      <w:r>
        <w:rPr>
          <w:rFonts w:ascii="Calibri" w:cs="Calibri" w:eastAsia="Calibri" w:hAnsi="Calibri"/>
          <w:b w:val="false"/>
          <w:bCs w:val="false"/>
          <w:i w:val="false"/>
          <w:iCs w:val="false"/>
          <w:color w:val="1F2937"/>
          <w:sz w:val="21"/>
          <w:szCs w:val="21"/>
        </w:rPr>
        <w:t xml:space="preserve">Ingrid van der Berg opened by noting that Q3 2025 represented "the worst quarter for supply chain data quality in MCG's history" with out-of-stock events up 34%, delivery SLA breaches at 22% in APAC, $2.48M in spoilage on a single corridor, and a regulatory citation because MCG could not trace a head of lettuce through its supply chain within 24 hours.</w:t>
      </w:r>
    </w:p>
    <w:p>
      <w:pPr>
        <w:spacing w:after="120"/>
        <w:jc w:val="left"/>
      </w:pPr>
      <w:r>
        <w:rPr>
          <w:rFonts w:ascii="Calibri" w:cs="Calibri" w:eastAsia="Calibri" w:hAnsi="Calibri"/>
          <w:b w:val="false"/>
          <w:bCs w:val="false"/>
          <w:i w:val="false"/>
          <w:iCs w:val="false"/>
          <w:color w:val="1F2937"/>
          <w:sz w:val="21"/>
          <w:szCs w:val="21"/>
        </w:rPr>
        <w:t xml:space="preserve">The CEO stated that these are not isolated incidents but symptoms of a systemic failure in data management, and that data quality would be MCG's #1 operational priority for 2026.</w:t>
      </w:r>
    </w:p>
    <w:p>
      <w:pPr>
        <w:pBdr>
          <w:bottom w:val="single" w:color="0D7C8F" w:sz="2" w:space="4"/>
        </w:pBdr>
        <w:spacing w:after="160" w:before="360"/>
      </w:pPr>
      <w:r>
        <w:rPr>
          <w:rFonts w:ascii="Calibri" w:cs="Calibri" w:eastAsia="Calibri" w:hAnsi="Calibri"/>
          <w:b/>
          <w:bCs/>
          <w:color w:val="1B2A4A"/>
          <w:sz w:val="30"/>
          <w:szCs w:val="30"/>
        </w:rPr>
        <w:t xml:space="preserve">2. Nightmare Review — Key Discussion Points</w:t>
      </w:r>
    </w:p>
    <w:p>
      <w:pPr>
        <w:spacing w:after="120" w:before="280"/>
      </w:pPr>
      <w:r>
        <w:rPr>
          <w:rFonts w:ascii="Calibri" w:cs="Calibri" w:eastAsia="Calibri" w:hAnsi="Calibri"/>
          <w:b/>
          <w:bCs/>
          <w:color w:val="0D7C8F"/>
          <w:sz w:val="26"/>
          <w:szCs w:val="26"/>
        </w:rPr>
        <w:t xml:space="preserve">2.1 Phantom Inventory Update (Henrik Jansen)</w:t>
      </w:r>
    </w:p>
    <w:p>
      <w:pPr>
        <w:spacing w:after="120"/>
        <w:jc w:val="left"/>
      </w:pPr>
      <w:r>
        <w:rPr>
          <w:rFonts w:ascii="Calibri" w:cs="Calibri" w:eastAsia="Calibri" w:hAnsi="Calibri"/>
          <w:b w:val="false"/>
          <w:bCs w:val="false"/>
          <w:i w:val="false"/>
          <w:iCs w:val="false"/>
          <w:color w:val="1F2937"/>
          <w:sz w:val="21"/>
          <w:szCs w:val="21"/>
        </w:rPr>
        <w:t xml:space="preserve">IRA (Inventory Record Accuracy) remains at 74%, unchanged from Q2 and well below the 97% target. The Rotterdam pipeline failure (INC-2025-04872) demonstrated that a single undetected 72-hour sync failure can create 847 units of phantom inventory across 143 SKUs, costing €30,500 in emergency transfers and expedited shipping.</w:t>
      </w:r>
    </w:p>
    <w:p>
      <w:pPr>
        <w:spacing w:after="120"/>
        <w:jc w:val="left"/>
      </w:pPr>
      <w:r>
        <w:rPr>
          <w:rFonts w:ascii="Calibri" w:cs="Calibri" w:eastAsia="Calibri" w:hAnsi="Calibri"/>
          <w:b w:val="false"/>
          <w:bCs w:val="false"/>
          <w:i w:val="false"/>
          <w:iCs w:val="false"/>
          <w:color w:val="1F2937"/>
          <w:sz w:val="21"/>
          <w:szCs w:val="21"/>
        </w:rPr>
        <w:t xml:space="preserve">Pipeline monitoring has been implemented at Rotterdam DC following the incident but is NOT yet deployed at the remaining 27 DCs. Henrik emphasized that the daily manual sync check is the only defense at other sites, costing 855 person-hours per day across the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D7C8F"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Henrik: "We're spending 855 hours of human labor every single day on manual sync checks that a simple automated heartbeat monitor could replace. That's the equivalent of 107 full-time employees doing nothing but checking whether our data pipelines are working."</w:t>
            </w:r>
          </w:p>
        </w:tc>
      </w:tr>
    </w:tbl>
    <w:p>
      <w:pPr>
        <w:spacing w:after="120" w:before="280"/>
      </w:pPr>
      <w:r>
        <w:rPr>
          <w:rFonts w:ascii="Calibri" w:cs="Calibri" w:eastAsia="Calibri" w:hAnsi="Calibri"/>
          <w:b/>
          <w:bCs/>
          <w:color w:val="0D7C8F"/>
          <w:sz w:val="26"/>
          <w:szCs w:val="26"/>
        </w:rPr>
        <w:t xml:space="preserve">2.2 APAC SLA Crisis (Wei Lin Tan)</w:t>
      </w:r>
    </w:p>
    <w:p>
      <w:pPr>
        <w:spacing w:after="120"/>
        <w:jc w:val="left"/>
      </w:pPr>
      <w:r>
        <w:rPr>
          <w:rFonts w:ascii="Calibri" w:cs="Calibri" w:eastAsia="Calibri" w:hAnsi="Calibri"/>
          <w:b w:val="false"/>
          <w:bCs w:val="false"/>
          <w:i w:val="false"/>
          <w:iCs w:val="false"/>
          <w:color w:val="1F2937"/>
          <w:sz w:val="21"/>
          <w:szCs w:val="21"/>
        </w:rPr>
        <w:t xml:space="preserve">Singapore delivery promise accuracy dropped to 69% (from 88% in Q2). Root cause: NinjaVan contract amendment AMD3 reclassified 5-10 kg parcels from 2-day to 3-day delivery, effective 01 October 2025. However, this change was not communicated to the e-commerce fulfillment team for 3+ weeks after contract execution.</w:t>
      </w:r>
    </w:p>
    <w:p>
      <w:pPr>
        <w:spacing w:after="120"/>
        <w:jc w:val="left"/>
      </w:pPr>
      <w:r>
        <w:rPr>
          <w:rFonts w:ascii="Calibri" w:cs="Calibri" w:eastAsia="Calibri" w:hAnsi="Calibri"/>
          <w:b w:val="false"/>
          <w:bCs w:val="false"/>
          <w:i w:val="false"/>
          <w:iCs w:val="false"/>
          <w:color w:val="1F2937"/>
          <w:sz w:val="21"/>
          <w:szCs w:val="21"/>
        </w:rPr>
        <w:t xml:space="preserve">During the communication gap, the MCG website continued to promise 2-day delivery for 5-10 kg orders, affecting approximately 14,000 customers per month. WISMO (Where Is My Order) rate in Singapore hit 52%, compared to the 30% target.</w:t>
      </w:r>
    </w:p>
    <w:p>
      <w:pPr>
        <w:spacing w:after="120"/>
        <w:jc w:val="left"/>
      </w:pPr>
      <w:r>
        <w:rPr>
          <w:rFonts w:ascii="Calibri" w:cs="Calibri" w:eastAsia="Calibri" w:hAnsi="Calibri"/>
          <w:b w:val="false"/>
          <w:bCs w:val="false"/>
          <w:i w:val="false"/>
          <w:iCs w:val="false"/>
          <w:color w:val="1F2937"/>
          <w:sz w:val="21"/>
          <w:szCs w:val="21"/>
        </w:rPr>
        <w:t xml:space="preserve">Wei Lin proposed a mandatory carrier-to-e-commerce SLA change notification process. Lisa Park (Customer Experience) agreed to co-own the implementation with Thomas Brennan.</w:t>
      </w:r>
    </w:p>
    <w:p>
      <w:pPr>
        <w:spacing w:after="120" w:before="280"/>
      </w:pPr>
      <w:r>
        <w:rPr>
          <w:rFonts w:ascii="Calibri" w:cs="Calibri" w:eastAsia="Calibri" w:hAnsi="Calibri"/>
          <w:b/>
          <w:bCs/>
          <w:color w:val="0D7C8F"/>
          <w:sz w:val="26"/>
          <w:szCs w:val="26"/>
        </w:rPr>
        <w:t xml:space="preserve">2.3 LATAM Spoilage (Roberto Almeida)</w:t>
      </w:r>
    </w:p>
    <w:p>
      <w:pPr>
        <w:spacing w:after="120"/>
        <w:jc w:val="left"/>
      </w:pPr>
      <w:r>
        <w:rPr>
          <w:rFonts w:ascii="Calibri" w:cs="Calibri" w:eastAsia="Calibri" w:hAnsi="Calibri"/>
          <w:b w:val="false"/>
          <w:bCs w:val="false"/>
          <w:i w:val="false"/>
          <w:iCs w:val="false"/>
          <w:color w:val="1F2937"/>
          <w:sz w:val="21"/>
          <w:szCs w:val="21"/>
        </w:rPr>
        <w:t xml:space="preserve">$2.48M in Q3 spoilage on the São Paulo-Buenos Aires corridor operated by TransFrio Logistics. The fleet change root cause (6 trucks replaced with new Thermo King X4 7500 units, drivers not retrained) was identified by Roberto's team after 3 weeks of investigation.</w:t>
      </w:r>
    </w:p>
    <w:p>
      <w:pPr>
        <w:spacing w:after="120"/>
        <w:jc w:val="left"/>
      </w:pPr>
      <w:r>
        <w:rPr>
          <w:rFonts w:ascii="Calibri" w:cs="Calibri" w:eastAsia="Calibri" w:hAnsi="Calibri"/>
          <w:b w:val="false"/>
          <w:bCs w:val="false"/>
          <w:i w:val="false"/>
          <w:iCs w:val="false"/>
          <w:color w:val="1F2937"/>
          <w:sz w:val="21"/>
          <w:szCs w:val="21"/>
        </w:rPr>
        <w:t xml:space="preserve">Roberto emphasized that the data to identify the root cause existed in MCG's systems from Day 1 — Tive IoT sensors recorded the temperature excursions, and TransFrio's fleet records showed the truck changeover. But these datasets lived in completely disconnected systems with no automated correlation.</w:t>
      </w:r>
    </w:p>
    <w:p>
      <w:pPr>
        <w:spacing w:after="120"/>
        <w:jc w:val="left"/>
      </w:pPr>
      <w:r>
        <w:rPr>
          <w:rFonts w:ascii="Calibri" w:cs="Calibri" w:eastAsia="Calibri" w:hAnsi="Calibri"/>
          <w:b w:val="false"/>
          <w:bCs w:val="false"/>
          <w:i w:val="false"/>
          <w:iCs w:val="false"/>
          <w:color w:val="1F2937"/>
          <w:sz w:val="21"/>
          <w:szCs w:val="21"/>
        </w:rPr>
        <w:t xml:space="preserve">A formal corrective action notice has been sent to TransFrio (SUPP-2025-TransFrio). If targets are not met, MCG will transition to LogFrio Argentina S.A. or Friovías LATAM.</w:t>
      </w:r>
    </w:p>
    <w:p>
      <w:pPr>
        <w:spacing w:after="120" w:before="280"/>
      </w:pPr>
      <w:r>
        <w:rPr>
          <w:rFonts w:ascii="Calibri" w:cs="Calibri" w:eastAsia="Calibri" w:hAnsi="Calibri"/>
          <w:b/>
          <w:bCs/>
          <w:color w:val="0D7C8F"/>
          <w:sz w:val="26"/>
          <w:szCs w:val="26"/>
        </w:rPr>
        <w:t xml:space="preserve">2.4 Compliance Update (Dr. Elena Vasquez)</w:t>
      </w:r>
    </w:p>
    <w:p>
      <w:pPr>
        <w:spacing w:after="120"/>
        <w:jc w:val="left"/>
      </w:pPr>
      <w:r>
        <w:rPr>
          <w:rFonts w:ascii="Calibri" w:cs="Calibri" w:eastAsia="Calibri" w:hAnsi="Calibri"/>
          <w:b w:val="false"/>
          <w:bCs w:val="false"/>
          <w:i w:val="false"/>
          <w:iCs w:val="false"/>
          <w:color w:val="1F2937"/>
          <w:sz w:val="21"/>
          <w:szCs w:val="21"/>
        </w:rPr>
        <w:t xml:space="preserve">NVWA corrective action plan (COMP-2025-NVWA)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Action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Current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Status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Lot number capture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On track — firmware updates pending on legacy scanners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Store-level lot tracking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90% by Mar 2026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On track — 250 stores need POS upgrade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Unified traceability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Project Qlarity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Business case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Pending CIO approval</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Sub-tier supplier mapping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80% by Jan 2026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AT RISK — supplier resistance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Country of origin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On track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Elena: "If we don't have a credible unified traceability plan approved before the NVWA follow-up inspection in Q1 2026, we risk escalation from citation to enforcement action. The lettuce recall demonstrated that our current 4-system manual tracing process is fundamentally inadequate."</w:t>
            </w:r>
          </w:p>
        </w:tc>
      </w:tr>
    </w:tbl>
    <w:p>
      <w:pPr>
        <w:pBdr>
          <w:bottom w:val="single" w:color="0D7C8F" w:sz="2" w:space="4"/>
        </w:pBdr>
        <w:spacing w:after="160" w:before="360"/>
      </w:pPr>
      <w:r>
        <w:rPr>
          <w:rFonts w:ascii="Calibri" w:cs="Calibri" w:eastAsia="Calibri" w:hAnsi="Calibri"/>
          <w:b/>
          <w:bCs/>
          <w:color w:val="1B2A4A"/>
          <w:sz w:val="30"/>
          <w:szCs w:val="30"/>
        </w:rPr>
        <w:t xml:space="preserve">3. Project Qlarity Presentation</w:t>
      </w:r>
    </w:p>
    <w:p>
      <w:pPr>
        <w:spacing w:after="120"/>
        <w:jc w:val="left"/>
      </w:pPr>
      <w:r>
        <w:rPr>
          <w:rFonts w:ascii="Calibri" w:cs="Calibri" w:eastAsia="Calibri" w:hAnsi="Calibri"/>
          <w:b w:val="false"/>
          <w:bCs w:val="false"/>
          <w:i w:val="false"/>
          <w:iCs w:val="false"/>
          <w:color w:val="1F2937"/>
          <w:sz w:val="21"/>
          <w:szCs w:val="21"/>
        </w:rPr>
        <w:t xml:space="preserve">Priya Ramanathan presented the Project Qlarity business case (PROJ-CLARITY-2025):</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Total investment: $12.4M over 24 months (3 phases)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Conservative annual benefit: $52.7M (60% realization of $87.9M potential)</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3-year ROI: 952%</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Platform: Qlik Talend Cloud (data integration + quality) + Qlik Open Lakehouse + Qlik Analytics + Qlik Answers + Qlik AutoML</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Phase 1 (Foundation, $5.2M): CDC pipelines, lakehouse, 4 priority transformation routes, pipeline monitoring</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Phase 2 (Analytics &amp; Quality, $4.8M): remaining transformation routes, data quality monitoring, AutoML models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Phase 3 (AI &amp; Conversational, $2.4M): Qlik Answers knowledge base, Discovery Agent, MCP Server</w:t>
      </w:r>
    </w:p>
    <w:p>
      <w:pPr>
        <w:spacing w:after="120"/>
        <w:jc w:val="left"/>
      </w:pPr>
      <w:r>
        <w:rPr>
          <w:rFonts w:ascii="Calibri" w:cs="Calibri" w:eastAsia="Calibri" w:hAnsi="Calibri"/>
          <w:b w:val="false"/>
          <w:bCs w:val="false"/>
          <w:i w:val="false"/>
          <w:iCs w:val="false"/>
          <w:color w:val="1F2937"/>
          <w:sz w:val="21"/>
          <w:szCs w:val="21"/>
        </w:rPr>
        <w:t xml:space="preserve">CEO directed Priya to schedule the full Qlarity presentation for the CIO review board on 31 October 2025.</w:t>
      </w:r>
    </w:p>
    <w:p>
      <w:pPr>
        <w:pBdr>
          <w:bottom w:val="single" w:color="0D7C8F" w:sz="2" w:space="4"/>
        </w:pBdr>
        <w:spacing w:after="160" w:before="360"/>
      </w:pPr>
      <w:r>
        <w:rPr>
          <w:rFonts w:ascii="Calibri" w:cs="Calibri" w:eastAsia="Calibri" w:hAnsi="Calibri"/>
          <w:b/>
          <w:bCs/>
          <w:color w:val="1B2A4A"/>
          <w:sz w:val="30"/>
          <w:szCs w:val="30"/>
        </w:rPr>
        <w:t xml:space="preserve">4. Action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Action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Owner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Deadline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Priority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Present Project Qlarity to CIO review board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 Ramanathan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Oct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Critical</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Roll out pipeline monitoring to all 28 DCs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 Chen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 Dec 2025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High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Implement carrier SLA change notification process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 Brennan + L. Park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Nov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High</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Complete TransFrio corrective actions or initiate carrier transition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 Brennan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 Dec 2025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High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Achieve 100% lot number capture at all food-handling DCs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Nov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Critical</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Prepare for NVWA follow-up inspection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 Vasquez</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28 Feb 2026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Critical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Evaluate alternate LATAM cold chain carriers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 Almeida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 Nov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Medium</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Address NinjaVan tracking data availability (71% vs 99% target)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 L. Tan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 Dec 2025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Medium</w:t>
            </w:r>
          </w:p>
        </w:tc>
      </w:tr>
    </w:tbl>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Priya Ramanathan</w:t>
      </w:r>
    </w:p>
    <w:p>
      <w:pPr>
        <w:spacing w:after="0"/>
      </w:pPr>
      <w:r>
        <w:rPr>
          <w:rFonts w:ascii="Calibri" w:cs="Calibri" w:eastAsia="Calibri" w:hAnsi="Calibri"/>
          <w:color w:val="6B7280"/>
          <w:sz w:val="19"/>
          <w:szCs w:val="19"/>
        </w:rPr>
        <w:t xml:space="preserve">Chief Data Officer</w:t>
      </w:r>
    </w:p>
    <w:p>
      <w:pPr>
        <w:spacing w:after="0"/>
      </w:pPr>
      <w:r>
        <w:rPr>
          <w:rFonts w:ascii="Calibri" w:cs="Calibri" w:eastAsia="Calibri" w:hAnsi="Calibri"/>
          <w:i/>
          <w:iCs/>
          <w:color w:val="6B7280"/>
          <w:sz w:val="19"/>
          <w:szCs w:val="19"/>
        </w:rPr>
        <w:t xml:space="preserve">Minutes Approved</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MEETING MINUTES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2026-09-21T20:26:51.333Z</dcterms:created>
  <dcterms:modified xsi:type="dcterms:W3CDTF">2026-09-21T20:26:51.333Z</dcterms:modified>
</cp:coreProperties>
</file>

<file path=docProps/custom.xml><?xml version="1.0" encoding="utf-8"?>
<Properties xmlns="http://schemas.openxmlformats.org/officeDocument/2006/custom-properties" xmlns:vt="http://schemas.openxmlformats.org/officeDocument/2006/docPropsVTypes"/>
</file>