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MCG-POL-007: EU Food Safety and Traceability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Policy ID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MCG-POL-007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 February 2025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Dr. Elena Vasquez, Chief Compliance Officer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Ingrid van der Berg, CEO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Regulatory Basis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EU Regulation (EC) No 178/2002; NVWA Guidelines 2024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Internal — All Business Units handling food products</w:t>
            </w:r>
          </w:p>
        </w:tc>
      </w:tr>
      <w:tr>
        <w:tc>
          <w:tcPr>
            <w:tcW w:type="pct" w:w="30%"/>
            <w:shd w:color="1B2A4A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pct" w:w="70%"/>
            <w:shd w:color="F2F4F7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All MCG operations in EU-27 markets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Purpose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This policy establishes MCG's mandatory requirements for food safety compliance and product traceability across all EU operations. It ensures compliance with Article 18 of EU Regulation (EC) No 178/2002, which requires food business operators to trace products 'one step back, one step forward' in the supply chain.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Non-compliance carries significant regulatory, financial, and reputational risk. The June 2025 NVWA citation demonstrated that MCG's current traceability infrastructure is inadequate for regulatory requirements.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Scope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Applies to all MCG operations handling food products in EU-27 markets: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Product categories: Fresh produce, dairy, frozen goods, beverages, health &amp; wellness supplements, eggs, bakery, confectionery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Facilities: All 28 DCs handling food (22 with cold chain capability) and all 1,140 retail stores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Channels: In-store retail, e-commerce, wholesale/B2B, marketplace fulfillment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Supply chain: 340 direct suppliers and approximately 1,200 sub-tier suppliers (actual number uncertain — mapping in progress)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Article 18 Requirements — Traceability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EU Regulation (EC) No 178/2002, Article 18 mandates that food business operators must be able to identify: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One step back: The supplier of every food product (who supplied it, when, what product, what lot)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One step forward: The business customer or store to which every food product was supplied (who received it, when, what quantity)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0D7C8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F2937"/>
          <w:sz w:val="21"/>
          <w:szCs w:val="21"/>
        </w:rPr>
        <w:t xml:space="preserve">Product identification: Lot number, product description, quantity, date of transaction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Target response time for a complete traceability query: 24 hours.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1B2A4A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CURRENT PERFORMANCE: The June 2025 lettuce recall (RCL-2025-003) required 11 days and 65 person-hours of manual cross-referencing across 4 disconnected systems (SAP, WMS, Descartes TMS, Meridian CRM) to complete full product tracing. This is 10 days beyond the 24-hour regulatory target.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Mandatory Data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Element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Compliance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 Owner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Lot number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Mandatory for all food receipts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93%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VP Warehouse Ops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Country of origin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Mandatory for fresh produce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88%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Procurement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Supplier identification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Linked to business register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93%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Procurement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Receipt date/time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Timestamped per delivery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100% (timezone issues)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100% clean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IT Operations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Store-level lot tracking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Receipt by lot at retail stores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32%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90% by Mar 2026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 Operations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Sub-tier supplier mapping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Required for high-risk products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36%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80% by Jan 2026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Procurement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Expiry/best-before date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Recorded at receipt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91%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VP Warehouse Ops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Temperature at receipt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Recorded for cold chain products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97%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100%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NVWA Citation — June 2025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On 12 June 2025, the Netherlands Food and Consumer Product Safety Authority (NVWA) conducted a routine inspection at MCG's Rotterdam DC (Europaweg 120, 3199 LD Rotterdam) and issued Citation NVWA-2025-CIT-04412: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Corrective Action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F1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Major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Lot numbers not consistently captured — free-text field allowed blank entries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WMS field converted to structured input with validation; blank blocked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Major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Unable to complete product trace from supplier to store within 24 hours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Project Qlarity Phase 1 — unified traceability layer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F3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Significant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Country of origin missing for 12% of fresh produce SKUs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Procurement updating supplier requirements; 88% complete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Significant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Sub-tier supplier relationships not documented for 64% of food suppliers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Supplier mapping program; 36% complete (at risk)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F5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Observation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Temperature recording at goods receipt uses inconsistent timestamp formats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Timestamp standardization planned under Project Qlarity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MCG submitted corrective action plan COMP-2025-NVWA on 15 July 2025. NVWA follow-up inspection expected Q1 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C4922E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2F4F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Sub-tier mapping (F4) is AT RISK at only 36% complete. Many suppliers cite commercial confidentiality. The Fresh Direct lettuce recall exposed this exact risk — the contaminated farm (FARM-NL-0042) was an undisclosed backup supplier.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Record Retention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All traceability records must be maintained for a minimum of 5 years per EU Regulation 178/2002. This includes: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Purchase orders and goods receipt records (SAP and WMS)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Lot number capture records and quality inspection results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Temperature monitoring records (IoT telemetry and manual readings)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Supplier certifications and audit reports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Recall documentation and regulatory correspondence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Roles and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Chief Compliance Officer (Dr. Elena Vasquez)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Policy ownership; regulatory liaison; NVWA primary contact; recall authority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VP Warehouse Operations (Henrik Jansen)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Lot number capture at all DCs; goods receipt compliance; cycle count for food traceability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VP Supply Chain (Thomas Brennan)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Cold chain compliance; carrier food safety requirements; in-transit traceability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Head of Procurement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Supplier qualification; sub-tier mapping; country of origin data collection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CDO (Priya Ramanathan)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Data quality monitoring for traceability elements; Project Qlarity delivery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 Operations VPs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Store-level lot tracking deployment; recall execution at retail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Quality Managers (per DC)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Receiving inspection; temperature verification; rejection authority for non-compliant deliveries</w:t>
            </w:r>
          </w:p>
        </w:tc>
      </w:tr>
    </w:tbl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Non-Compliance Consequences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Internal: Failure to comply with this policy will result in escalation to the CCO and may affect individual performance evaluations. Repeated non-compliance at a facility level triggers a formal compliance audit.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External: Regulatory non-compliance may result in: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NVWA citations and fines (up to €820,000 per incident under Dutch food safety law)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Mandatory product recalls at MCG's expense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Suspension of food handling permits for affected facilities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Reputational damage and loss of consumer trust</w:t>
      </w:r>
    </w:p>
    <w:p>
      <w:pPr>
        <w:pBdr>
          <w:bottom w:val="single" w:color="0D7C8F" w:sz="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shd w:color="0D7C8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1.0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2019-03-01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Legal Dept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Initial release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2.0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2022-01-15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E. Vasquez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Updated for NVWA 2021 guidelines</w:t>
            </w:r>
          </w:p>
        </w:tc>
      </w:tr>
      <w:tr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3.0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2025-01-15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E. Vasquez</w:t>
            </w:r>
          </w:p>
        </w:tc>
        <w:tc>
          <w:tcPr>
            <w:shd w:color="F2F4F7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Post-lettuce recall comprehensive revision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3.1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2025-02-01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E. Vasquez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Added NVWA citation corrective actions; expanded data element table</w:t>
            </w:r>
          </w:p>
        </w:tc>
      </w:tr>
    </w:tbl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Dr. Elena Vasquez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Chief Compliance Officer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Legal &amp; Compliance Division</w:t>
      </w:r>
    </w:p>
    <w:p>
      <w:pPr>
        <w:spacing w:after="0" w:before="400"/>
      </w:pPr>
    </w:p>
    <w:p>
      <w:pPr>
        <w:pBdr>
          <w:bottom w:val="single" w:color="6B7280" w:sz="1" w:space="1"/>
        </w:pBdr>
        <w:spacing w:after="0"/>
      </w:pPr>
      <w:r>
        <w:rPr>
          <w:sz w:val="20"/>
          <w:szCs w:val="20"/>
        </w:rPr>
        <w:t xml:space="preserve">                                                          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Ingrid van der Berg</w:t>
      </w:r>
    </w:p>
    <w:p>
      <w:pPr>
        <w:spacing w:after="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Chief Executive Officer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Meridian Commerce Group</w:t>
      </w:r>
    </w:p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C8F" w:sz="3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Meridian Commerce Group  •  </w:t>
    </w:r>
    <w:r>
      <w:rPr>
        <w:rFonts w:ascii="Calibri" w:cs="Calibri" w:eastAsia="Calibri" w:hAnsi="Calibri"/>
        <w:color w:val="6B7280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Calibri" w:cs="Calibri" w:eastAsia="Calibri" w:hAnsi="Calibri"/>
        <w:color w:val="6B7280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Calibri" w:cs="Calibri" w:eastAsia="Calibri" w:hAnsi="Calibri"/>
        <w:b/>
        <w:bCs/>
        <w:color w:val="C4922E"/>
        <w:sz w:val="13"/>
        <w:szCs w:val="13"/>
      </w:rPr>
      <w:t xml:space="preserve">CONFIDENTIAL — </w:t>
    </w:r>
    <w:r>
      <w:rPr>
        <w:rFonts w:ascii="Calibri" w:cs="Calibri" w:eastAsia="Calibri" w:hAnsi="Calibri"/>
        <w:color w:val="6B7280"/>
        <w:sz w:val="13"/>
        <w:szCs w:val="13"/>
      </w:rPr>
      <w:t xml:space="preserve">Page </w:t>
    </w:r>
    <w:r>
      <w:rPr>
        <w:rFonts w:ascii="Calibri" w:cs="Calibri" w:eastAsia="Calibri" w:hAnsi="Calibri"/>
        <w:color w:val="6B72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B2A4A"/>
        <w:sz w:val="28"/>
        <w:szCs w:val="28"/>
      </w:rPr>
      <w:t xml:space="preserve">MERIDIAN</w:t>
    </w:r>
    <w:r>
      <w:rPr>
        <w:rFonts w:ascii="Calibri" w:cs="Calibri" w:eastAsia="Calibri" w:hAnsi="Calibri"/>
        <w:b w:val="false"/>
        <w:bCs w:val="false"/>
        <w:color w:val="1B2A4A"/>
        <w:sz w:val="28"/>
        <w:szCs w:val="28"/>
      </w:rPr>
      <w:t xml:space="preserve"> COMMERCE </w:t>
    </w:r>
    <w:r>
      <w:rPr>
        <w:rFonts w:ascii="Calibri" w:cs="Calibri" w:eastAsia="Calibri" w:hAnsi="Calibri"/>
        <w:b/>
        <w:bCs/>
        <w:color w:val="0D7C8F"/>
        <w:sz w:val="28"/>
        <w:szCs w:val="28"/>
      </w:rPr>
      <w:t xml:space="preserve">GROUP</w:t>
    </w:r>
  </w:p>
  <w:p>
    <w:pPr>
      <w:spacing w:after="0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The neighborhood store with global reach</w:t>
    </w:r>
  </w:p>
  <w:p>
    <w:pPr>
      <w:pBdr>
        <w:bottom w:val="single" w:color="0D7C8F" w:sz="6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Calibri" w:cs="Calibri" w:eastAsia="Calibri" w:hAnsi="Calibri"/>
        <w:b/>
        <w:bCs/>
        <w:caps/>
        <w:color w:val="C4922E"/>
        <w:sz w:val="18"/>
        <w:szCs w:val="18"/>
      </w:rPr>
      <w:t xml:space="preserve">CORPORATE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D7C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B2A4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2026-09-21T20:26:49.635Z</dcterms:created>
  <dcterms:modified xsi:type="dcterms:W3CDTF">2026-09-21T20:26:49.639Z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