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SOP-SC-001: Product Recall Procedure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SOP-SC-001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4.0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01 September 2025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Last Reviewed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15 August 2025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Next Review Due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01 March 2026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Dr. Elena Vasquez, Chief Compliance Officer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Co-Author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Thomas Brennan, VP Supply Chain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Internal — Critical: All Supply Chain, Store, and Customer Service Personnel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Regulatory Basis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EU Regulation (EC) No 178/2002, Articles 18 &amp; 19; RASFF Procedures; NVWA Guidelines 2024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Training Required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Annual Recall Readiness Drill; Role-specific training per Section 12</w:t>
            </w:r>
          </w:p>
        </w:tc>
      </w:tr>
    </w:tbl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1. Purpose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This procedure defines the end-to-end process for executing product recalls across all MCG channels — retail stores (1,140 locations in 23 countries), e-commerce (meridiancommerce.com serving 38 countries), and wholesale/B2B. It is designed to meet the 24-hour regulatory traceability requirement mandated by EU food safety law and covers both voluntary and regulatory-mandated recalls across all product categories.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1B2A4A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2F4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CRITICAL LESSONS LEARNED: This SOP was substantially rewritten in v4.0 following the June 2025 organic butter lettuce recall (RCL-2025-003). That recall exposed systemic failures in MCG's traceability infrastructure: it took 11 days and 65 person-hours of manual cross-referencing across 4 disconnected systems to complete full product tracing — 10 days beyond the 24-hour regulatory target. The NVWA issued formal citation NVWA-2025-CIT-04412 as a result. Every section of this SOP now incorporates corrective measures from that incident.</w:t>
            </w:r>
          </w:p>
        </w:tc>
      </w:tr>
    </w:tbl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2. Scope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This procedure applies to: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All product categories sold by MCG: fresh produce, dairy, frozen goods, beverages, electronics, apparel, home goods, health &amp; wellness, pharmaceuticals/supplements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All channels: brick-and-mortar retail (Meridian Market, MCG Express), e-commerce, wholesale/B2B, marketplace channels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All geographies: EU-27, UK, Americas, APAC, LATAM, Africa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Both voluntary recalls (MCG-initiated) and mandatory recalls (regulatory authority-mandated)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Product withdrawals (removal from sale, no customer notification) and full recalls (removal from sale + customer notification + return/refund)</w:t>
      </w:r>
    </w:p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3. Recall Classification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Response Time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Decision Authority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Regulatory Notification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Class I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Reasonable probability of serious adverse health consequences or death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Listeria in ready-to-eat food; allergen mislabeling; electrical fault causing fire risk; toxic substance contamination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Immediate activation (&lt; 2 hours from trigger to team assembly)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CEO + CCO jointly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Within 24 hours to all relevant authorities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Class II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Product may cause temporary or medically reversible adverse health consequences, or where the probability of serious consequences is remote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Salmonella in raw product (cooking kills bacteria); minor allergen cross-contamination below clinical threshold; cosmetic defect in pharmaceutical packaging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&lt; 24 hours from trigger to team assembly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CCO + VP Supply Chain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Within 48 hours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Class III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Product is unlikely to cause adverse health consequences but violates regulatory standards or labeling requirements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Incorrect nutritional labeling; missing country of origin; packaging text in wrong language; product past best-before date but not safety-critical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&lt; 72 hours from trigger to team assembly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VP Supply Chain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Within 72 hours (or per specific regulation)</w:t>
            </w:r>
          </w:p>
        </w:tc>
      </w:tr>
    </w:tbl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4. Recall Trigger Sources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 recall may be triggered by any of the following: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Trigger Source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Initial Contact Point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Typical Response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Supplier notification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Supplier discovers contamination in their production line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Procurement Manager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Verify affected lots, assess MCG exposure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Regulatory authority alert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NVWA, FDA, EFSA issues recall order or RASFF notification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CCO / Legal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Mandatory compliance; immediate activation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Internal QC finding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MCG lab testing detects contamination or defect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Quality Manager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Assess severity; determine recall class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Customer complaint cluster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3+ complaints about same product issue within 7 days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Head of Customer Service (Lisa Park)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Investigate pattern; assess health/safety risk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Media / social media report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News report or viral social media post about product safety issue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Communications Director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Verify claim; assess impact; prepare response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Third-party lab / testing org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Independent testing organization publishes adverse findings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CCO / Legal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Verify methodology; assess MCG product match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Store employee report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Store staff observes product quality issue (mold, off-odor, damage)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Store Manager → Regional Operations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Photograph evidence; quarantine affected stock</w:t>
            </w:r>
          </w:p>
        </w:tc>
      </w:tr>
    </w:tbl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5. Recall Response Team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Upon recall activation, the Recall Response Team (RRT) must be assembled within the timeline specified by the recall class: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 (Current)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Backup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Recall Lead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Dr. Elena Vasquez, CCO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Overall recall execution; regulatory liaison; final decisions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General Counsel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Supply Chain Lead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Thomas Brennan, VP Supply Chain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Product identification; DC inventory quarantine; in-transit shipment interception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Director of Logistics, EU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Warehouse Operations Lead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Henrik Jansen, VP Warehouse Ops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DC-level stock pull; lot-level inventory search across all WMS instances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DC Operations Director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E-Commerce Lead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Head of E-Commerce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Website product removal; order cancellation for affected products; e-commerce customer notification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E-Commerce Operations Manager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Customer Service Lead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Lisa Park, Head of Customer Experience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Customer notification execution; call center briefing; WISMO re-routing for recall-affected orders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CS Operations Manager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Store Operations Lead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Regional VP (affected region)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Store-level product pull; shelf clearance verification; store staff briefing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District Managers (chain of command)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Legal Counsel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MCG Legal Department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Regulatory filing; liability assessment; media statement review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External counsel (Baker McKenzie)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Communications Director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MCG Communications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Press statements; social media monitoring; internal communications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 Agency (retained)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IT/Data Lead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Priya Ramanathan, CDO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Data extraction for traceability; system support for affected lot identification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Head of Data Engineering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Finance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CFO Office representative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Cost tracking; insurance notification; financial impact assessment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Financial Controller</w:t>
            </w:r>
          </w:p>
        </w:tc>
      </w:tr>
    </w:tbl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6. Traceability Execution — The Critical Path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most time-critical element of any recall is identifying ALL affected inventory across the entire supply chain. MCG's current traceability capability requires cross-referencing 4 disconnected systems: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D7C8F"/>
          <w:sz w:val="26"/>
          <w:szCs w:val="26"/>
        </w:rPr>
        <w:t xml:space="preserve">6.1 System-by-System Trace Procedure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SAP ERP — Purchase Order Receipts and Supplier Lot Linkage: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Transaction: MB51 (Material Document List) filtered by material number and lot number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Output: All PO receipts for the affected product/lot, with supplier, receipt date, DC location, and quantity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Known limitation: Supplier names may not match across systems (Nightmare #3). Use Supplier Cross-Reference Guide.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Known limitation: If the receipt occurred during a pipeline failure window, the data may be stale or incomplete. Cross-reference with WMS.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WMS (Oracle/Manhattan) — Current Warehouse Inventory by Lot: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Oracle WMS: Inventory Inquiry &gt; Filter by Item + Lot. Shows current on-hand by location, zone, and lot.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Manhattan WMS: Inventory &gt; Search &gt; Material + Lot Number. Shows current positions.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Known limitation: WMS and SAP may show different quantities if CDC sync is delayed or failed. ALWAYS use WMS as the authoritative source for physical inventory.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Known limitation: Only 93% of food product receipts have lot numbers captured (improving from 85% pre-NVWA citation). For the 7% without lot numbers, a broader product-level (rather than lot-level) search is required.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Descartes TMS — In-Transit Shipment Details: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TMS Shipment Search: Filter by origin DC, product code, and date range.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Output: All in-transit shipments containing the affected product. Includes: carrier, tracking number, destination, expected delivery date.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Known limitation: 42% of shipments have missing tracking numbers (Nightmare #6). For these, carrier contact is required for manual verification.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Meridian Storefront — Customer Orders with Affected SKUs: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SQL query on crm_orders: filter by product SKU and order date range.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Output: All customer orders containing the affected product, with delivery address, order status, and tracking information.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Known limitation: Meridian CRM order records do not contain lot-level information. The link between customer order → specific lot requires cross-referencing order date + fulfillment DC + lot availability at time of pick.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1B2A4A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2F4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CURRENT GAP — NO UNIFIED TRACEABILITY KEY: These four systems are not linked by a common lot-level traceability key. During the June 2025 lettuce recall, this required 65 person-hours of manual cross-referencing involving 28 hours in SAP, 15 hours in WMS, 18 hours on physical store audits, and 4 hours of IT data extraction support. Project Qlarity Phase 1 will create a unified data layer connecting all 4 systems with a common traceability key. Until then, the manual process described above is the ONLY reliable method.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D7C8F"/>
          <w:sz w:val="26"/>
          <w:szCs w:val="26"/>
        </w:rPr>
        <w:t xml:space="preserve">6.2 Traceability Completeness Verification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Recall Lead must verify that the following inventory categories are ALL accounted for: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Inventory Category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System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Verification Method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Current Capability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 DC (on-hand)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WMS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Lot-level inventory search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93% lot-tracked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 transit (DC to store)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Descartes TMS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Shipment search by product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58% have tracking data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 transit (DC to customer - e-com)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Descartes + Meridian CRM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Order + shipment cross-reference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Variable by carrier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On store shelves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POS / store inventory system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Store-level lot search OR physical audit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32% stores have lot tracking ⚠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 customer hands (delivered)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Meridian CRM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Customer order history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Lot link indirect (date/DC match)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At supplier (unshipped)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SAP + Supplier contact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Open PO check + supplier verification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Manual process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Returns in process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WMS + Meridian CRM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Return receipt search by SKU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 lot link on returns ⚠</w:t>
            </w:r>
          </w:p>
        </w:tc>
      </w:tr>
    </w:tbl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7. Store-Level Actions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Recall notification pushed to all affected stores via the MCG Alert System (mobile push + email + POS pop-up). Notification includes: recall reference number, affected product description, affected lot numbers (if available), product image, and required action.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Store managers pull ALL affected products from shelves within 2 hours of notification (Class I) or 24 hours (Class II/III).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Pulled inventory recorded in POS system with reason code 'RECALL-[recall ID]'. For stores WITH lot-level tracking (32%), record the lot number. For stores WITHOUT lot-level tracking (68%), pull ALL units of the affected SKU regardless of lot.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Photographic evidence of shelf clearance submitted via the MCG Store Ops mobile app within 1 hour of completion. Photo must show: (a) empty shelf location, (b) pulled product in quarantine area, (c) quarantine label applied.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5.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Quarantined product held in store backroom with 'DO NOT SELL — RECALL' label until disposition instructions received from the Recall Lead.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6.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Store acknowledgment of recall completion must be recorded in the MCG Alert System. Stores that have not acknowledged within the required timeframe are escalated to the District Manager.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C4922E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2F4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PERFORMANCE GAP: During the June lettuce recall, only 32% of stores could identify recalled product by lot number. The remaining 68% had to conduct physical shelf audits and pull ALL lettuce regardless of lot, increasing the scope and cost of the recall significantly. Store-level lot tracking deployment is a corrective action under COMP-2025-NVWA, with 78% completion as of September 2025 and a target of 90% by March 2026.</w:t>
            </w:r>
          </w:p>
        </w:tc>
      </w:tr>
    </w:tbl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8. Customer Notification (E-Commerce)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For e-commerce orders containing recalled products: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Customer Service team generates the affected customer list from Meridian CRM (SQL query by product SKU + order date range + delivery status).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Customer segmentation for notification: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Delivered orders: Full recall notification with return/refund instructions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In-transit orders: Carrier intercept attempted. If intercept fails, customer notified upon delivery.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Unfulfilled orders: Order cancelled with apology + full refund + courtesy credit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Automated email notification sent within: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Class I: 4 hours of recall activation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Class II: 24 hours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Class III: 72 hours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Notification includes: product name and image, reason for recall (consumer-friendly language, reviewed by Legal), return/disposal instructions, refund/credit offer, customer service contact for questions.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5.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Refund or replacement processed automatically for all affected orders. Customer does NOT need to initiate the return for Class I recalls.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6.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WISMO-trained agents briefed on recall-specific FAQs within 2 hours of recall activation (template FAQ document maintained by Customer Service).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7.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Dedicated recall phone line and email address activated for customer inquiries: recall@meridiancommerce.com, +31 10 798 4999.</w:t>
      </w:r>
    </w:p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9. Regulatory Reporting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D7C8F"/>
          <w:sz w:val="26"/>
          <w:szCs w:val="26"/>
        </w:rPr>
        <w:t xml:space="preserve">9.1 EU Markets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NVWA notification (Netherlands) within 24 hours via the NVWA Portal. Contact: MCG's registered food safety officer (Dr. Elena Vasquez).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RASFF notification filed through the national contact point. The RASFF alert triggers automatic notification to all EU member state food safety authorities.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Complete traceability report submitted to NVWA within 72 hours. Report must include: affected lots, quantities, distribution list (stores + customers), supplier information including sub-tier (if food), and containment actions taken.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Corrective action plan filed within 30 days.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5.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For food products: Maintain all traceability documentation for minimum 5 years per EU Regulation 178/2002.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D7C8F"/>
          <w:sz w:val="26"/>
          <w:szCs w:val="26"/>
        </w:rPr>
        <w:t xml:space="preserve">9.2 Americas Markets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FDA notification (US) within 24 hours via the FDA Reportable Food Registry (RFR) for food products, or via CPSC SaferProducts.gov for non-food products.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Health Canada notification for Canadian distribution.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ANVISA notification for Brazilian distribution.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D7C8F"/>
          <w:sz w:val="26"/>
          <w:szCs w:val="26"/>
        </w:rPr>
        <w:t xml:space="preserve">9.3 APAC Markets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SFA (Singapore Food Agency), TGA (Australia), KFDA (South Korea) as applicable per distribution.</w:t>
      </w:r>
    </w:p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10. Post-Recall Review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Within 14 calendar days of recall closure, the Recall Response Team must complete a Post-Recall Review meeting. The following must be documented: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Full timeline reconstruction: trigger → activation → traceability → containment → completion. Actual vs target timeline at each stage.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Root cause analysis: What caused the product safety issue? What was the source?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Traceability gap analysis: Where did the tracing process break down? Which systems lacked the data needed? How long did each system trace take?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Cost analysis: Direct costs (product destruction, refunds, labor) + indirect costs (brand impact, regulatory penalties, legal).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5.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Corrective action recommendations: What must change to prevent recurrence and improve response time?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6.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SOP revision: Does this SOP need to be updated based on lessons learned?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7.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Regulatory follow-up: Are there outstanding corrective action requirements from regulatory authorities?</w:t>
      </w:r>
    </w:p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11. Annual Recall Readiness Drill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MCG conducts an annual recall simulation exercise ('Recall Readiness Drill') to test the effectiveness of this procedure. The drill: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Uses a realistic but fictional scenario (previous drills: contaminated honey, allergen mislabeling in ready-meals, electrical fault in smart home devices)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Tests end-to-end execution across all RRT functions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Measures traceability time against the 24-hour target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Identifies gaps in training, system access, and communication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Results in a Drill After-Action Report with improvement recommendations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Next drill scheduled: Q4 2025 (scenario TBD by CCO).</w:t>
      </w:r>
    </w:p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12. Training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Training Module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All Recall Response Team members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Recall Readiness Drill participation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Annual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Store Managers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Recall Notification Response — store-level actions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Annual + upon SOP revision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Customer Service Agents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Recall FAQ handling; WISMO recall routing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Annual + upon each recall activation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Procurement / Supplier Management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Supplier recall notification procedures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Annual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Quality Inspectors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Product hold and quarantine procedures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Annual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IT / Data team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Traceability data extraction procedures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Annual</w:t>
            </w:r>
          </w:p>
        </w:tc>
      </w:tr>
    </w:tbl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13. Related 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 ID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RCL-2025-003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Lettuce Recall — Full incident record and traceability timeline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COMP-2025-NVWA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NVWA Corrective Action Plan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MCG-POL-007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EU Food Safety Compliance Policy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SUPP-2025-FreshDirect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Fresh Direct NL Supplier Performance Review (connected to lettuce recall)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SOP-WH-001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Goods Receiving Procedure (lot number capture requirements)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PROJ-CLARITY-2025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Project Qlarity Business Case (unified traceability solution)</w:t>
            </w:r>
          </w:p>
        </w:tc>
      </w:tr>
    </w:tbl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14. 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Changes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1.0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01 May 2019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Legal Dept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Initial release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2.0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15 Mar 2021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E. Vasquez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Added EU regulatory reporting requirements; RASFF procedures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3.0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10 Jan 2024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E. Vasquez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Updated recall classification per NVWA 2024 guidance; added Americas/APAC reporting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4.0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01 Sep 2025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E. Vasquez + T. Brennan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MAJOR REVISION post lettuce recall: Added detailed 4-system traceability procedure; store lot tracking gap documentation; customer notification segmentation; annual drill requirement; expanded RRT membership; post-recall review template</w:t>
            </w:r>
          </w:p>
        </w:tc>
      </w:tr>
    </w:tbl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15. Document Approval</w:t>
      </w:r>
    </w:p>
    <w:p>
      <w:pPr>
        <w:spacing w:after="0" w:before="400"/>
      </w:pPr>
    </w:p>
    <w:p>
      <w:pPr>
        <w:pBdr>
          <w:bottom w:val="single" w:color="6B7280" w:sz="1" w:space="1"/>
        </w:pBdr>
        <w:spacing w:after="0"/>
      </w:pPr>
      <w:r>
        <w:rPr>
          <w:sz w:val="20"/>
          <w:szCs w:val="20"/>
        </w:rPr>
        <w:t xml:space="preserve">                                                          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Dr. Elena Vasquez</w:t>
      </w:r>
    </w:p>
    <w:p>
      <w:pPr>
        <w:spacing w:after="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Chief Compliance Officer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Legal &amp; Compliance Division</w:t>
      </w:r>
    </w:p>
    <w:p>
      <w:pPr>
        <w:spacing w:after="0" w:before="400"/>
      </w:pPr>
    </w:p>
    <w:p>
      <w:pPr>
        <w:pBdr>
          <w:bottom w:val="single" w:color="6B7280" w:sz="1" w:space="1"/>
        </w:pBdr>
        <w:spacing w:after="0"/>
      </w:pPr>
      <w:r>
        <w:rPr>
          <w:sz w:val="20"/>
          <w:szCs w:val="20"/>
        </w:rPr>
        <w:t xml:space="preserve">                                                          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Thomas Brennan</w:t>
      </w:r>
    </w:p>
    <w:p>
      <w:pPr>
        <w:spacing w:after="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VP Supply Chain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Global Supply Chain Division</w:t>
      </w:r>
    </w:p>
    <w:p>
      <w:pPr>
        <w:spacing w:after="0" w:before="400"/>
      </w:pPr>
    </w:p>
    <w:p>
      <w:pPr>
        <w:pBdr>
          <w:bottom w:val="single" w:color="6B7280" w:sz="1" w:space="1"/>
        </w:pBdr>
        <w:spacing w:after="0"/>
      </w:pPr>
      <w:r>
        <w:rPr>
          <w:sz w:val="20"/>
          <w:szCs w:val="20"/>
        </w:rPr>
        <w:t xml:space="preserve">                                                          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Ingrid van der Berg</w:t>
      </w:r>
    </w:p>
    <w:p>
      <w:pPr>
        <w:spacing w:after="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Chief Executive Officer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Executive Approval</w:t>
      </w:r>
    </w:p>
    <w:sectPr>
      <w:headerReference w:type="default" r:id="rId7"/>
      <w:footerReference w:type="default" r:id="rId8"/>
      <w:pgSz w:w="11906" w:h="16838" w:orient="portrait"/>
      <w:pgMar w:top="1727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7C8F" w:sz="3" w:space="4"/>
      </w:pBdr>
      <w:spacing w:before="0"/>
    </w:pPr>
    <w:r>
      <w:rPr>
        <w:sz w:val="4"/>
        <w:szCs w:val="4"/>
      </w:rPr>
      <w:t xml:space="preserve"/>
    </w:r>
  </w:p>
  <w:p>
    <w:pPr>
      <w:spacing w:after="0" w:before="0"/>
      <w:jc w:val="center"/>
    </w:pPr>
    <w:r>
      <w:rPr>
        <w:rFonts w:ascii="Calibri" w:cs="Calibri" w:eastAsia="Calibri" w:hAnsi="Calibri"/>
        <w:color w:val="6B7280"/>
        <w:sz w:val="14"/>
        <w:szCs w:val="14"/>
      </w:rPr>
      <w:t xml:space="preserve">Meridian Commerce Group  •  </w:t>
    </w:r>
    <w:r>
      <w:rPr>
        <w:rFonts w:ascii="Calibri" w:cs="Calibri" w:eastAsia="Calibri" w:hAnsi="Calibri"/>
        <w:color w:val="6B7280"/>
        <w:sz w:val="14"/>
        <w:szCs w:val="14"/>
      </w:rPr>
      <w:t xml:space="preserve">Weena 505, 3013 AL Rotterdam, Netherlands</w:t>
    </w:r>
  </w:p>
  <w:p>
    <w:pPr>
      <w:spacing w:after="0" w:before="0"/>
      <w:jc w:val="center"/>
    </w:pPr>
    <w:r>
      <w:rPr>
        <w:rFonts w:ascii="Calibri" w:cs="Calibri" w:eastAsia="Calibri" w:hAnsi="Calibri"/>
        <w:color w:val="6B7280"/>
        <w:sz w:val="14"/>
        <w:szCs w:val="14"/>
      </w:rPr>
      <w:t xml:space="preserve">+31 10 798 4000  •  www.meridiancommerce.com  •  info@meridiancommerce.com</w:t>
    </w:r>
  </w:p>
  <w:p>
    <w:pPr>
      <w:spacing w:after="0" w:before="40"/>
      <w:jc w:val="center"/>
    </w:pPr>
    <w:r>
      <w:rPr>
        <w:rFonts w:ascii="Calibri" w:cs="Calibri" w:eastAsia="Calibri" w:hAnsi="Calibri"/>
        <w:b/>
        <w:bCs/>
        <w:color w:val="C4922E"/>
        <w:sz w:val="13"/>
        <w:szCs w:val="13"/>
      </w:rPr>
      <w:t xml:space="preserve">CONFIDENTIAL — </w:t>
    </w:r>
    <w:r>
      <w:rPr>
        <w:rFonts w:ascii="Calibri" w:cs="Calibri" w:eastAsia="Calibri" w:hAnsi="Calibri"/>
        <w:color w:val="6B7280"/>
        <w:sz w:val="13"/>
        <w:szCs w:val="13"/>
      </w:rPr>
      <w:t xml:space="preserve">Page </w:t>
    </w:r>
    <w:r>
      <w:rPr>
        <w:rFonts w:ascii="Calibri" w:cs="Calibri" w:eastAsia="Calibri" w:hAnsi="Calibri"/>
        <w:color w:val="6B7280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Calibri" w:cs="Calibri" w:eastAsia="Calibri" w:hAnsi="Calibri"/>
        <w:b/>
        <w:bCs/>
        <w:color w:val="1B2A4A"/>
        <w:sz w:val="28"/>
        <w:szCs w:val="28"/>
      </w:rPr>
      <w:t xml:space="preserve">MERIDIAN</w:t>
    </w:r>
    <w:r>
      <w:rPr>
        <w:rFonts w:ascii="Calibri" w:cs="Calibri" w:eastAsia="Calibri" w:hAnsi="Calibri"/>
        <w:b w:val="false"/>
        <w:bCs w:val="false"/>
        <w:color w:val="1B2A4A"/>
        <w:sz w:val="28"/>
        <w:szCs w:val="28"/>
      </w:rPr>
      <w:t xml:space="preserve"> COMMERCE </w:t>
    </w:r>
    <w:r>
      <w:rPr>
        <w:rFonts w:ascii="Calibri" w:cs="Calibri" w:eastAsia="Calibri" w:hAnsi="Calibri"/>
        <w:b/>
        <w:bCs/>
        <w:color w:val="0D7C8F"/>
        <w:sz w:val="28"/>
        <w:szCs w:val="28"/>
      </w:rPr>
      <w:t xml:space="preserve">GROUP</w:t>
    </w:r>
  </w:p>
  <w:p>
    <w:pPr>
      <w:spacing w:after="0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The neighborhood store with global reach</w:t>
    </w:r>
  </w:p>
  <w:p>
    <w:pPr>
      <w:pBdr>
        <w:bottom w:val="single" w:color="0D7C8F" w:sz="6" w:space="4"/>
      </w:pBdr>
      <w:spacing w:after="0"/>
    </w:pPr>
    <w:r>
      <w:rPr>
        <w:sz w:val="4"/>
        <w:szCs w:val="4"/>
      </w:rPr>
      <w:t xml:space="preserve"/>
    </w:r>
  </w:p>
  <w:p>
    <w:pPr>
      <w:spacing w:after="0" w:before="60"/>
      <w:jc w:val="right"/>
    </w:pPr>
    <w:r>
      <w:rPr>
        <w:rFonts w:ascii="Calibri" w:cs="Calibri" w:eastAsia="Calibri" w:hAnsi="Calibri"/>
        <w:b/>
        <w:bCs/>
        <w:caps/>
        <w:color w:val="C4922E"/>
        <w:sz w:val="18"/>
        <w:szCs w:val="18"/>
      </w:rPr>
      <w:t xml:space="preserve">STANDARD OPERATING PROCEDURE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</w:pPr>
    <w:rPr>
      <w:rFonts w:ascii="Calibri" w:cs="Calibri" w:eastAsia="Calibri" w:hAnsi="Calibri"/>
      <w:b/>
      <w:bCs/>
      <w:color w:val="0D7C8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B2A4A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2026-09-21T20:26:49.000Z</dcterms:created>
  <dcterms:modified xsi:type="dcterms:W3CDTF">2026-09-21T20:26:49.000Z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