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SOP-SC-002: Cold Chain Monitoring and Exceedance Response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SOP-SC-002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June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March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Thomas Brennan, VP Supply Chain</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Dr. Michael Torres, Cold Chain Director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Supply Chain, Warehouse, Logistics, Carrier Partners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References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MCG-POL-012: Cold Chain Management Policy; TRN-2025-002; INC-2025-05102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TRN-2025-002 for all cold chain handlers; Annual refresher</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procedure defines the monitoring, alerting, and response protocols for maintaining cold chain integrity across MCG's perishable supply chain — from supplier dispatch through warehouse storage and last-mile delivery to the customer's door. Compliance ensures product safety, regulatory adherence, and minimization of spoilage losses.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FINANCIAL CONTEXT: Cold chain failures cost MCG $48M+ annually in spoilage, with the Q3 2025 LATAM corridor alone contributing $2.48M in a single quarter (INC-2025-05102). Effective cold chain monitoring is not just a food safety requirement — it is a critical cost control measure.</w:t>
            </w:r>
          </w:p>
        </w:tc>
      </w:tr>
    </w:tbl>
    <w:p>
      <w:pPr>
        <w:pBdr>
          <w:bottom w:val="single" w:color="0D7C8F" w:sz="2" w:space="4"/>
        </w:pBdr>
        <w:spacing w:after="160" w:before="360"/>
      </w:pPr>
      <w:r>
        <w:rPr>
          <w:rFonts w:ascii="Calibri" w:cs="Calibri" w:eastAsia="Calibri" w:hAnsi="Calibri"/>
          <w:b/>
          <w:bCs/>
          <w:color w:val="1B2A4A"/>
          <w:sz w:val="30"/>
          <w:szCs w:val="30"/>
        </w:rPr>
        <w:t xml:space="preserve">2. Temperature Requirements by Product Category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Product 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Storage Min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Storage Max</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Transport Min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Transport Max</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Exceedance Before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Sensor Type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Recording Interval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Fresh produce (leafy greens, herbs, berries)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min &gt; 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Root vegetables, hardy produce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 min &gt; 12°C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Dairy (milk, cheese, yogurt, butter)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min &gt; 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Frozen goods (ice cream, frozen meals, frozen produce)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ANY time &gt; -15°C (zero tolerance for thaw)</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Chilled beverages (juices, smoothies)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min &gt; 10°C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Pharmaceuticals / health supplements (cold chain)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 min outside range (zero tolerance)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Sensitech TempTale Ultra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Eggs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min &gt; 15°C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Fresh flowers (seasonal)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min &gt; 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 min</w:t>
            </w:r>
          </w:p>
        </w:tc>
      </w:tr>
    </w:tbl>
    <w:p>
      <w:pPr>
        <w:pBdr>
          <w:bottom w:val="single" w:color="0D7C8F" w:sz="2" w:space="4"/>
        </w:pBdr>
        <w:spacing w:after="160" w:before="360"/>
      </w:pPr>
      <w:r>
        <w:rPr>
          <w:rFonts w:ascii="Calibri" w:cs="Calibri" w:eastAsia="Calibri" w:hAnsi="Calibri"/>
          <w:b/>
          <w:bCs/>
          <w:color w:val="1B2A4A"/>
          <w:sz w:val="30"/>
          <w:szCs w:val="30"/>
        </w:rPr>
        <w:t xml:space="preserve">3. IoT Sensor Infrastructure</w:t>
      </w:r>
    </w:p>
    <w:p>
      <w:pPr>
        <w:spacing w:after="120" w:before="280"/>
      </w:pPr>
      <w:r>
        <w:rPr>
          <w:rFonts w:ascii="Calibri" w:cs="Calibri" w:eastAsia="Calibri" w:hAnsi="Calibri"/>
          <w:b/>
          <w:bCs/>
          <w:color w:val="0D7C8F"/>
          <w:sz w:val="26"/>
          <w:szCs w:val="26"/>
        </w:rPr>
        <w:t xml:space="preserve">3.1 Regional Coverage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 Coverage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FY2026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Sensor Provider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Connectivity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Known Issues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(NL, DE, BE, FR, ES, 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4G/5G cellular, 99.5%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significant issues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 CA, MX, BR, AR)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 + Sensitech (pharma)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4G cellular, 98% uptime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July-Sep 2025 Fahrenheit contamination (see 3.2)</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(SG, MY, TH, ID, AU)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4G cellular, 97%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10-min intervals (vs 5-min EU) due to data costs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LATAM (BR, AR, CL, CO, PE)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3G/4G mixed, 92% uptime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Border crossing blackout zones (Uruguaiana)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Africa (NG, KE, ZA, GH)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3G, 78%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Lagos DC: 6-hour daily connectivity blackout ⚠</w:t>
            </w:r>
          </w:p>
        </w:tc>
      </w:tr>
    </w:tbl>
    <w:p>
      <w:pPr>
        <w:spacing w:after="120" w:before="280"/>
      </w:pPr>
      <w:r>
        <w:rPr>
          <w:rFonts w:ascii="Calibri" w:cs="Calibri" w:eastAsia="Calibri" w:hAnsi="Calibri"/>
          <w:b/>
          <w:bCs/>
          <w:color w:val="0D7C8F"/>
          <w:sz w:val="26"/>
          <w:szCs w:val="26"/>
        </w:rPr>
        <w:t xml:space="preserve">3.2 Known Data Quality Issues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AMERICAS FAHRENHEIT CONTAMINATION (ACTIVE — Data remediation in progress): Between July 1 and September 30, 2025, Tive sensors deployed in Americas distribution centers (Atlanta, Dallas, Chicago, Los Angeles, São Paulo, Buenos Aires) were configured to report temperatures in Fahrenheit WITHOUT a unit indicator in the telemetry data stream. This means a reading of '41' in the historical data could be 41°F (= 5°C, which is within range for fresh produce) or could have been entered in a system expecting Celsius (in which case 41 would be a catastrophic failure). Approximately 47,000 telemetry readings from this period are affected. The data remediation team is working with Tive to retroactively apply unit correction based on sensor serial numbers and deployment region. Until remediation is complete, any cold chain analysis using Americas data from Q3 2025 should be flagged as potentially unreliable. All sensors have been reconfigured to Celsius as of October 1, 2025. Reference: MCG-POL-012 Section 4.2; TRN-2025-002 Section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LAGOS DC CONNECTIVITY BLACKOUT (ACTIVE — Satellite backup budgeted for Q2 2026): The Lagos distribution center (MCG's primary West Africa hub) experiences daily internet connectivity blackouts lasting approximately 6 hours, typically between 11:00 and 17:00 West Africa Time (WAT). During these periods, Tive IoT sensors continue recording temperature data locally (buffered on the sensor's internal storage) but CANNOT transmit to the cloud platform. This means: (a) Temperature exceedances occurring during blackout hours will NOT trigger real-time alerts. Detection is delayed by up to 6 hours until connectivity resumes. (b) The Cold Chain Monitoring Dashboard will show 'Last Updated' timestamps that are hours old during blackout periods — this does NOT mean the cold chain has failed, it means we don't know the current state. (c) During blackout hours, warehouse staff at Lagos DC must perform MANUAL temperature checks every 30 minutes in all cold zones and record readings on paper logs. These are digitized when connectivity resumes. Satellite internet backup (Starlink) has been budgeted for Q2 2026 deployment.</w:t>
            </w:r>
          </w:p>
        </w:tc>
      </w:tr>
    </w:tbl>
    <w:p>
      <w:pPr>
        <w:pBdr>
          <w:bottom w:val="single" w:color="0D7C8F" w:sz="2" w:space="4"/>
        </w:pBdr>
        <w:spacing w:after="160" w:before="360"/>
      </w:pPr>
      <w:r>
        <w:rPr>
          <w:rFonts w:ascii="Calibri" w:cs="Calibri" w:eastAsia="Calibri" w:hAnsi="Calibri"/>
          <w:b/>
          <w:bCs/>
          <w:color w:val="1B2A4A"/>
          <w:sz w:val="30"/>
          <w:szCs w:val="30"/>
        </w:rPr>
        <w:t xml:space="preserve">4. Monitoring Architecture</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IoT sensors (Tive Solo 5G or Sensitech TempTale) are attached to each pallet or shipment of temperature-sensitive products at the origin point (supplier dispatch or MCG DC outbound).</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Sensors transmit temperature readings at configured intervals (2-10 minutes depending on region and product) to the Tive Cloud platform via cellular connectivity.</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Tive Cloud forwards telemetry data to MCG's Kafka topic 'cold-chain-telemetry' in real-time via webhook integration.</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MCG's automated rules engine (currently: custom application; future: Qlik Talend Cloud IoT pipeline) evaluates each reading against the product-specific temperature limits defined in Section 2.</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If a reading exceeds the defined threshold, the system generates an alert routed to the designated regional Cold Chain Manager via: (a) SMS, (b) email, (c) push notification in the MCG Supply Chain mobile app.</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Alert includes: Shipment ID, sensor ID, current temperature, threshold temperature, duration of exceedance, GPS location (if available), carrier name, product details, and suggested response action.</w:t>
      </w:r>
    </w:p>
    <w:p>
      <w:pPr>
        <w:spacing w:after="80"/>
        <w:ind w:left="431"/>
      </w:pPr>
      <w:r>
        <w:rPr>
          <w:rFonts w:ascii="Calibri" w:cs="Calibri" w:eastAsia="Calibri" w:hAnsi="Calibri"/>
          <w:b/>
          <w:bCs/>
          <w:color w:val="0D7C8F"/>
          <w:sz w:val="21"/>
          <w:szCs w:val="21"/>
        </w:rPr>
        <w:t xml:space="preserve">7. </w:t>
      </w:r>
      <w:r>
        <w:rPr>
          <w:rFonts w:ascii="Calibri" w:cs="Calibri" w:eastAsia="Calibri" w:hAnsi="Calibri"/>
          <w:b w:val="false"/>
          <w:bCs w:val="false"/>
          <w:color w:val="1F2937"/>
          <w:sz w:val="21"/>
          <w:szCs w:val="21"/>
        </w:rPr>
        <w:t xml:space="preserve">Cold Chain Manager acknowledges the alert and initiates the response protocol per Section 5.</w:t>
      </w:r>
    </w:p>
    <w:p>
      <w:pPr>
        <w:pBdr>
          <w:bottom w:val="single" w:color="0D7C8F" w:sz="2" w:space="4"/>
        </w:pBdr>
        <w:spacing w:after="160" w:before="360"/>
      </w:pPr>
      <w:r>
        <w:rPr>
          <w:rFonts w:ascii="Calibri" w:cs="Calibri" w:eastAsia="Calibri" w:hAnsi="Calibri"/>
          <w:b/>
          <w:bCs/>
          <w:color w:val="1B2A4A"/>
          <w:sz w:val="30"/>
          <w:szCs w:val="30"/>
        </w:rPr>
        <w:t xml:space="preserve">5. Exceedance Response Protocol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Severity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Condition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Automated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Human Response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Timeline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Documentation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Advisory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1°C of limit and trending toward breach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Dashboard warning (yellow indicator)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Manager reviews; contacts carrier if in transit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Monitor within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System log only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Warning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&lt; 15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SMS alert to Cold Chain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Contact carrier driver; verify reefer unit operation; monitor for recovery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Response within 15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Incident log entry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Minor Exceedance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15-30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SMS + email alert to Cold Chain Manager + Regional Logistics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Direct carrier to nearest cold facility for assessment; prepare product inspection team at destination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Decision within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Incident report required within 24h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 Exceedance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30-60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Alert escalated to VP Supply Chain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Reroute shipment to nearest cold facility; prepare for potential rejection; notify destination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Decision within 15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incident report within 24h; carrier claim initiated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 Exceedance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&gt; 60 minutes OR frozen product shows thaw (any duration above -15°C)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Alert to VP Supply Chain + Quality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QUARANTINE shipment. Do NOT deliver to customer or store. Carrier holds at current location or proceeds to nearest MCG facility for controlled disposal. Full investigation initiated.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incident report; carrier claim; spoilage report; regulatory notification if food safety impacted</w:t>
            </w:r>
          </w:p>
        </w:tc>
      </w:tr>
    </w:tbl>
    <w:p>
      <w:pPr>
        <w:pBdr>
          <w:bottom w:val="single" w:color="0D7C8F" w:sz="2" w:space="4"/>
        </w:pBdr>
        <w:spacing w:after="160" w:before="360"/>
      </w:pPr>
      <w:r>
        <w:rPr>
          <w:rFonts w:ascii="Calibri" w:cs="Calibri" w:eastAsia="Calibri" w:hAnsi="Calibri"/>
          <w:b/>
          <w:bCs/>
          <w:color w:val="1B2A4A"/>
          <w:sz w:val="30"/>
          <w:szCs w:val="30"/>
        </w:rPr>
        <w:t xml:space="preserve">6. Carrier Cold Chain Requirements</w:t>
      </w:r>
    </w:p>
    <w:p>
      <w:pPr>
        <w:spacing w:after="120"/>
        <w:jc w:val="left"/>
      </w:pPr>
      <w:r>
        <w:rPr>
          <w:rFonts w:ascii="Calibri" w:cs="Calibri" w:eastAsia="Calibri" w:hAnsi="Calibri"/>
          <w:b w:val="false"/>
          <w:bCs w:val="false"/>
          <w:i w:val="false"/>
          <w:iCs w:val="false"/>
          <w:color w:val="1F2937"/>
          <w:sz w:val="21"/>
          <w:szCs w:val="21"/>
        </w:rPr>
        <w:t xml:space="preserve">All carriers transporting MCG temperature-sensitive products must comply with the following requirements (embedded in all carrier MSAs):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Pre-cool ALL transport units to the target product temperature BEFORE loading begins. As of October 2025 (post-TransFrio incident), the pre-cooling requirement is 0°C for chilled products (tightened from previous 2°C standard). The reefer unit must show target temperature for a minimum of 15 minutes before loading doors are opened.</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Maintain continuous temperature logging throughout transport. Reefer unit temperature logs must be available for MCG inspection upon request.</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Share real-time telemetry data with MCG. Acceptable methods: (a) Tive sensor on MCG-provided device (preferred), (b) carrier's own telemetry system with API integration to MCG, (c) daily telemetry file upload to MCG SFTP by 06:00 UTC.</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Do NOT turn off refrigeration units during rest stops, refueling, border waits, or loading/unloading at intermediate stops. Carriers operating on routes with extended border crossings (e.g., Uruguaiana Brazil-Argentina crossing, averaging 4.2 hours in Q3 2025) must have auxiliary power units (APUs) to maintain refrigeration independently of the vehicle engine.</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Report any temperature exceedance to MCG Cold Chain Manager within 1 hour of detection or within 1 hour of connectivity restoration (for regions with connectivity gaps).</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Driver training: All drivers on MCG cold chain routes must complete the carrier-equivalent of TRN-2025-002. MCG provides a training package that carriers may use or substitute with equivalent certified training.</w:t>
      </w:r>
    </w:p>
    <w:p>
      <w:pPr>
        <w:pBdr>
          <w:bottom w:val="single" w:color="0D7C8F" w:sz="2" w:space="4"/>
        </w:pBdr>
        <w:spacing w:after="160" w:before="360"/>
      </w:pPr>
      <w:r>
        <w:rPr>
          <w:rFonts w:ascii="Calibri" w:cs="Calibri" w:eastAsia="Calibri" w:hAnsi="Calibri"/>
          <w:b/>
          <w:bCs/>
          <w:color w:val="1B2A4A"/>
          <w:sz w:val="30"/>
          <w:szCs w:val="30"/>
        </w:rPr>
        <w:t xml:space="preserve">7. TransFrio LATAM Incident — Lessons Applied</w:t>
      </w:r>
    </w:p>
    <w:p>
      <w:pPr>
        <w:spacing w:after="120"/>
        <w:jc w:val="left"/>
      </w:pPr>
      <w:r>
        <w:rPr>
          <w:rFonts w:ascii="Calibri" w:cs="Calibri" w:eastAsia="Calibri" w:hAnsi="Calibri"/>
          <w:b w:val="false"/>
          <w:bCs w:val="false"/>
          <w:i w:val="false"/>
          <w:iCs w:val="false"/>
          <w:color w:val="1F2937"/>
          <w:sz w:val="21"/>
          <w:szCs w:val="21"/>
        </w:rPr>
        <w:t xml:space="preserve">The Q3 2025 TransFrio spoilage incident (INC-2025-05102) resulted in $2.48M in losses on the São Paulo-Buenos Aires corridor. Key lessons incorporated into this SOP:</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Root cause: TransFrio's new Thermo King X4 7500 fleet had a 15-minute startup time to reach target temperature (vs 3 minutes on old fleet). Drivers loaded cargo during startup. The loading SOP was not updated.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Contributing: Uruguaiana border crossing wait times increased from 1.8h to 4.2h in Q3. Some drivers shut off reefer units to save fuel during the wait.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Systemic: MCG had no system connecting IoT temperature data with carrier fleet/operational data. The pattern was dismissed as 'seasonal heat' for 3 weeks because no one could see the correlation.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Corrective: Pre-cooling requirement tightened to 0°C; APU requirement added; real-time telemetry sharing mandated within 60 days; penalty structure for exceedances implemented.</w:t>
      </w:r>
    </w:p>
    <w:p>
      <w:pPr>
        <w:pBdr>
          <w:bottom w:val="single" w:color="0D7C8F" w:sz="2" w:space="4"/>
        </w:pBdr>
        <w:spacing w:after="160" w:before="360"/>
      </w:pPr>
      <w:r>
        <w:rPr>
          <w:rFonts w:ascii="Calibri" w:cs="Calibri" w:eastAsia="Calibri" w:hAnsi="Calibri"/>
          <w:b/>
          <w:bCs/>
          <w:color w:val="1B2A4A"/>
          <w:sz w:val="30"/>
          <w:szCs w:val="30"/>
        </w:rPr>
        <w:t xml:space="preserve">8.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Apr 2023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Oct 2023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pharmaceutical cold chain requirements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Africa/APAC coverage details; documented Fahrenheit data issue; expanded severity levels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Jun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 + M. Torres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 update post TransFrio incident: tightened pre-cooling to 0°C; added APU requirement; expanded carrier requirements; added monitoring architecture detail; documented Lagos connectivity issue</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Global Supply Chain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Dr. Michael Torres</w:t>
      </w:r>
    </w:p>
    <w:p>
      <w:pPr>
        <w:spacing w:after="0"/>
      </w:pPr>
      <w:r>
        <w:rPr>
          <w:rFonts w:ascii="Calibri" w:cs="Calibri" w:eastAsia="Calibri" w:hAnsi="Calibri"/>
          <w:color w:val="6B7280"/>
          <w:sz w:val="19"/>
          <w:szCs w:val="19"/>
        </w:rPr>
        <w:t xml:space="preserve">Cold Chain Director</w:t>
      </w:r>
    </w:p>
    <w:p>
      <w:pPr>
        <w:spacing w:after="0"/>
      </w:pPr>
      <w:r>
        <w:rPr>
          <w:rFonts w:ascii="Calibri" w:cs="Calibri" w:eastAsia="Calibri" w:hAnsi="Calibri"/>
          <w:i/>
          <w:iCs/>
          <w:color w:val="6B7280"/>
          <w:sz w:val="19"/>
          <w:szCs w:val="19"/>
        </w:rPr>
        <w:t xml:space="preserve">Cold Chain Operations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2026-09-21T20:26:49.090Z</dcterms:created>
  <dcterms:modified xsi:type="dcterms:W3CDTF">2026-09-21T20:26:49.090Z</dcterms:modified>
</cp:coreProperties>
</file>

<file path=docProps/custom.xml><?xml version="1.0" encoding="utf-8"?>
<Properties xmlns="http://schemas.openxmlformats.org/officeDocument/2006/custom-properties" xmlns:vt="http://schemas.openxmlformats.org/officeDocument/2006/docPropsVTypes"/>
</file>