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Formal Notice: TransFrio Logistics S.A. — Contract Performance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Document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SUPP-2025-TransFrio</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Date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October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To</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TransFrio Logistics S.A., Rua das Palmeiras 450, São Paulo, Brazil</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Attention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Ricardo Silva, CEO</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From</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Thomas Brennan, VP Supply Chain, MCG</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Re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Performance deficiencies — São Paulo-Buenos Aires corridor</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Contract Ref</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MSA-2024-TF-LATAM-001</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Notice Type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Formal Corrective Action Notice (Section 8.4 of MSA)</w:t>
            </w:r>
          </w:p>
        </w:tc>
      </w:tr>
    </w:tbl>
    <w:p>
      <w:pPr>
        <w:pBdr>
          <w:bottom w:val="single" w:color="0D7C8F" w:sz="2" w:space="4"/>
        </w:pBdr>
        <w:spacing w:after="160" w:before="360"/>
      </w:pPr>
      <w:r>
        <w:rPr>
          <w:rFonts w:ascii="Calibri" w:cs="Calibri" w:eastAsia="Calibri" w:hAnsi="Calibri"/>
          <w:b/>
          <w:bCs/>
          <w:color w:val="1B2A4A"/>
          <w:sz w:val="30"/>
          <w:szCs w:val="30"/>
        </w:rPr>
        <w:t xml:space="preserve">1. Notice of Performance Deficiency</w:t>
      </w:r>
    </w:p>
    <w:p>
      <w:pPr>
        <w:spacing w:after="120"/>
        <w:jc w:val="left"/>
      </w:pPr>
      <w:r>
        <w:rPr>
          <w:rFonts w:ascii="Calibri" w:cs="Calibri" w:eastAsia="Calibri" w:hAnsi="Calibri"/>
          <w:b w:val="false"/>
          <w:bCs w:val="false"/>
          <w:i w:val="false"/>
          <w:iCs w:val="false"/>
          <w:color w:val="1F2937"/>
          <w:sz w:val="21"/>
          <w:szCs w:val="21"/>
        </w:rPr>
        <w:t xml:space="preserve">Meridian Commerce Group hereby provides formal notice of significant performance deficiencies under Master Service Agreement MSA-2024-TF-LATAM-001, specifically relating to cold chain integrity on the São Paulo-Buenos Aires transportation corridor during Q3 2025.</w:t>
      </w:r>
    </w:p>
    <w:p>
      <w:pPr>
        <w:spacing w:after="120"/>
        <w:jc w:val="left"/>
      </w:pPr>
      <w:r>
        <w:rPr>
          <w:rFonts w:ascii="Calibri" w:cs="Calibri" w:eastAsia="Calibri" w:hAnsi="Calibri"/>
          <w:b w:val="false"/>
          <w:bCs w:val="false"/>
          <w:i w:val="false"/>
          <w:iCs w:val="false"/>
          <w:color w:val="1F2937"/>
          <w:sz w:val="21"/>
          <w:szCs w:val="21"/>
        </w:rPr>
        <w:t xml:space="preserve">This notice follows the investigation findings of Incident INC-2025-05102 (TransFrio São Paulo-Buenos Aires Spoilage Event) which identified systematic cold chain failures traceable to fleet management decisions made without MCG notification.</w:t>
      </w:r>
    </w:p>
    <w:p>
      <w:pPr>
        <w:pBdr>
          <w:bottom w:val="single" w:color="0D7C8F" w:sz="2" w:space="4"/>
        </w:pBdr>
        <w:spacing w:after="160" w:before="360"/>
      </w:pPr>
      <w:r>
        <w:rPr>
          <w:rFonts w:ascii="Calibri" w:cs="Calibri" w:eastAsia="Calibri" w:hAnsi="Calibri"/>
          <w:b/>
          <w:bCs/>
          <w:color w:val="1B2A4A"/>
          <w:sz w:val="30"/>
          <w:szCs w:val="30"/>
        </w:rPr>
        <w:t xml:space="preserve">2. Performance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Metric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Contract Target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Q2 Actual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Q3 Actual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Variance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Temperature exceedance rate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+6.8% ⚠</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Spoilage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0.5%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+2.9% ⚠</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On-time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-14% ⚠</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Pre-cooling compliance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-38% ⚠</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Telemetry data sharing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Real-time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Partial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Not provided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Non-compliant ⚠</w:t>
            </w:r>
          </w:p>
        </w:tc>
      </w:tr>
    </w:tbl>
    <w:p>
      <w:pPr>
        <w:spacing w:after="80"/>
      </w:pPr>
      <w:r>
        <w:rPr>
          <w:rFonts w:ascii="Calibri" w:cs="Calibri" w:eastAsia="Calibri" w:hAnsi="Calibri"/>
          <w:b/>
          <w:bCs/>
          <w:color w:val="1B2A4A"/>
          <w:sz w:val="21"/>
          <w:szCs w:val="21"/>
        </w:rPr>
        <w:t xml:space="preserve">Total MCG losses attributable to TransFrio Q3: </w:t>
      </w:r>
      <w:r>
        <w:rPr>
          <w:rFonts w:ascii="Calibri" w:cs="Calibri" w:eastAsia="Calibri" w:hAnsi="Calibri"/>
          <w:color w:val="1F2937"/>
          <w:sz w:val="21"/>
          <w:szCs w:val="21"/>
        </w:rPr>
        <w:t xml:space="preserve">$2.48M</w:t>
      </w:r>
    </w:p>
    <w:p>
      <w:pPr>
        <w:spacing w:after="80"/>
      </w:pPr>
      <w:r>
        <w:rPr>
          <w:rFonts w:ascii="Calibri" w:cs="Calibri" w:eastAsia="Calibri" w:hAnsi="Calibri"/>
          <w:b/>
          <w:bCs/>
          <w:color w:val="1B2A4A"/>
          <w:sz w:val="21"/>
          <w:szCs w:val="21"/>
        </w:rPr>
        <w:t xml:space="preserve">Breakdown: </w:t>
      </w:r>
      <w:r>
        <w:rPr>
          <w:rFonts w:ascii="Calibri" w:cs="Calibri" w:eastAsia="Calibri" w:hAnsi="Calibri"/>
          <w:color w:val="1F2937"/>
          <w:sz w:val="21"/>
          <w:szCs w:val="21"/>
        </w:rPr>
        <w:t xml:space="preserve">$1.82M product spoilage + $0.41M expedited replacements + $0.25M customer refunds</w:t>
      </w:r>
    </w:p>
    <w:p>
      <w:pPr>
        <w:pBdr>
          <w:bottom w:val="single" w:color="0D7C8F" w:sz="2" w:space="4"/>
        </w:pBdr>
        <w:spacing w:after="160" w:before="360"/>
      </w:pPr>
      <w:r>
        <w:rPr>
          <w:rFonts w:ascii="Calibri" w:cs="Calibri" w:eastAsia="Calibri" w:hAnsi="Calibri"/>
          <w:b/>
          <w:bCs/>
          <w:color w:val="1B2A4A"/>
          <w:sz w:val="30"/>
          <w:szCs w:val="30"/>
        </w:rPr>
        <w:t xml:space="preserve">3. Root Cause — Fleet Change Without Notification</w:t>
      </w:r>
    </w:p>
    <w:p>
      <w:pPr>
        <w:spacing w:after="120"/>
        <w:jc w:val="left"/>
      </w:pPr>
      <w:r>
        <w:rPr>
          <w:rFonts w:ascii="Calibri" w:cs="Calibri" w:eastAsia="Calibri" w:hAnsi="Calibri"/>
          <w:b w:val="false"/>
          <w:bCs w:val="false"/>
          <w:i w:val="false"/>
          <w:iCs w:val="false"/>
          <w:color w:val="1F2937"/>
          <w:sz w:val="21"/>
          <w:szCs w:val="21"/>
        </w:rPr>
        <w:t xml:space="preserve">Investigation revealed that TransFrio replaced 6 of its 12 São Paulo-Buenos Aires fleet trucks in July 2025 with newer Thermo King X4 7500 reefer units. The new units require a different startup sequence that drivers were not trained on. As a result:</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Drivers were starting the new reefer units with the old procedure, causing a 45-minute cooling delay</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Pre-cooling target of 0°C was rarely achieved — most units departed at 4-6°C</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The 14-hour São Paulo-Buenos Aires border crossing wait (without active power at Argentine customs) caused temperatures to exceed 8°C for extended periods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This fleet change was NOT communicated to MCG. The performance degradation was initially dismissed as 'summer heat' by both MCG and TransFrio operations teams because IoT temperature data (Tive sensors) and carrier fleet data lived in different systems with no correlation. It took 3 weeks and manual analyst work to identify the true root cause.</w:t>
            </w:r>
          </w:p>
        </w:tc>
      </w:tr>
    </w:tbl>
    <w:p>
      <w:pPr>
        <w:pBdr>
          <w:bottom w:val="single" w:color="0D7C8F" w:sz="2" w:space="4"/>
        </w:pBdr>
        <w:spacing w:after="160" w:before="360"/>
      </w:pPr>
      <w:r>
        <w:rPr>
          <w:rFonts w:ascii="Calibri" w:cs="Calibri" w:eastAsia="Calibri" w:hAnsi="Calibri"/>
          <w:b/>
          <w:bCs/>
          <w:color w:val="1B2A4A"/>
          <w:sz w:val="30"/>
          <w:szCs w:val="30"/>
        </w:rPr>
        <w:t xml:space="preserve">4. Required Corrective Actions</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Immediate: Pre-cool all transport units to 0°C (down from 2°C) before loading. Loading verification required.</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Within 30 days: Install auxiliary power units (APUs) on all São Paulo-Buenos Aires fleet vehicles to maintain refrigeration during the 14-hour Argentine border wait.</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Within 60 days: Implement real-time telemetry data sharing with MCG via REST API integration (specification provided separately).</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Within 90 days: Complete driver retraining on Thermo King X4 7500 startup sequence and provide certification records to MCG.</w:t>
      </w:r>
    </w:p>
    <w:p>
      <w:pPr>
        <w:pBdr>
          <w:bottom w:val="single" w:color="0D7C8F" w:sz="2" w:space="4"/>
        </w:pBdr>
        <w:spacing w:after="160" w:before="360"/>
      </w:pPr>
      <w:r>
        <w:rPr>
          <w:rFonts w:ascii="Calibri" w:cs="Calibri" w:eastAsia="Calibri" w:hAnsi="Calibri"/>
          <w:b/>
          <w:bCs/>
          <w:color w:val="1B2A4A"/>
          <w:sz w:val="30"/>
          <w:szCs w:val="30"/>
        </w:rPr>
        <w:t xml:space="preserve">5. Penalty Structure</w:t>
      </w:r>
    </w:p>
    <w:p>
      <w:pPr>
        <w:spacing w:after="120"/>
        <w:jc w:val="left"/>
      </w:pPr>
      <w:r>
        <w:rPr>
          <w:rFonts w:ascii="Calibri" w:cs="Calibri" w:eastAsia="Calibri" w:hAnsi="Calibri"/>
          <w:b w:val="false"/>
          <w:bCs w:val="false"/>
          <w:i w:val="false"/>
          <w:iCs w:val="false"/>
          <w:color w:val="1F2937"/>
          <w:sz w:val="21"/>
          <w:szCs w:val="21"/>
        </w:rPr>
        <w:t xml:space="preserve">Effective immediately, the following penalty structure applies per Section 8.4 of the MSA: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Violation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Penalty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Measurement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Temperature exceedance &gt; 15 min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USD $500 per incident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Tive sensor reading</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Spoilage due to carrier negligence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Full product replacement + 15% handling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shipment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Failure to share telemetry data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USD $2,000/month</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Binary compliance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APU installation deadline missed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MCG may engage alternate carrier at TransFrio cost differential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vehicle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Pre-cooling non-compliance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USD $200 per departure above 1°C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loading event</w:t>
            </w:r>
          </w:p>
        </w:tc>
      </w:tr>
    </w:tbl>
    <w:p>
      <w:pPr>
        <w:pBdr>
          <w:bottom w:val="single" w:color="0D7C8F" w:sz="2" w:space="4"/>
        </w:pBdr>
        <w:spacing w:after="160" w:before="360"/>
      </w:pPr>
      <w:r>
        <w:rPr>
          <w:rFonts w:ascii="Calibri" w:cs="Calibri" w:eastAsia="Calibri" w:hAnsi="Calibri"/>
          <w:b/>
          <w:bCs/>
          <w:color w:val="1B2A4A"/>
          <w:sz w:val="30"/>
          <w:szCs w:val="30"/>
        </w:rPr>
        <w:t xml:space="preserve">6. Consequences of Non-Compliance</w:t>
      </w:r>
    </w:p>
    <w:p>
      <w:pPr>
        <w:spacing w:after="120"/>
        <w:jc w:val="left"/>
      </w:pPr>
      <w:r>
        <w:rPr>
          <w:rFonts w:ascii="Calibri" w:cs="Calibri" w:eastAsia="Calibri" w:hAnsi="Calibri"/>
          <w:b w:val="false"/>
          <w:bCs w:val="false"/>
          <w:i w:val="false"/>
          <w:iCs w:val="false"/>
          <w:color w:val="1F2937"/>
          <w:sz w:val="21"/>
          <w:szCs w:val="21"/>
        </w:rPr>
        <w:t xml:space="preserve">If corrective actions are not substantially completed within specified deadlines, MCG reserves the right to:</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Terminate the MSA with 30 days written notice per Section 14.3</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Pursue recovery of Q3 2025 spoilage losses ($2.48M) through formal dispute resolution per Section 16</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Engage alternate carriers for the São Paulo-Buenos Aires corridor effective immediately</w:t>
      </w:r>
    </w:p>
    <w:p>
      <w:pPr>
        <w:spacing w:after="120"/>
        <w:jc w:val="left"/>
      </w:pPr>
      <w:r>
        <w:rPr>
          <w:rFonts w:ascii="Calibri" w:cs="Calibri" w:eastAsia="Calibri" w:hAnsi="Calibri"/>
          <w:b w:val="false"/>
          <w:bCs w:val="false"/>
          <w:i w:val="false"/>
          <w:iCs w:val="false"/>
          <w:color w:val="1F2937"/>
          <w:sz w:val="21"/>
          <w:szCs w:val="21"/>
        </w:rPr>
        <w:t xml:space="preserve">MCG has identified two alternate carriers (LogFrio Argentina S.A. and Friovías LATAM) with available capacity on this corridor.</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Thomas Brennan</w:t>
      </w:r>
    </w:p>
    <w:p>
      <w:pPr>
        <w:spacing w:after="0"/>
      </w:pPr>
      <w:r>
        <w:rPr>
          <w:rFonts w:ascii="Calibri" w:cs="Calibri" w:eastAsia="Calibri" w:hAnsi="Calibri"/>
          <w:color w:val="6B7280"/>
          <w:sz w:val="19"/>
          <w:szCs w:val="19"/>
        </w:rPr>
        <w:t xml:space="preserve">VP Supply Chain</w:t>
      </w:r>
    </w:p>
    <w:p>
      <w:pPr>
        <w:spacing w:after="0"/>
      </w:pPr>
      <w:r>
        <w:rPr>
          <w:rFonts w:ascii="Calibri" w:cs="Calibri" w:eastAsia="Calibri" w:hAnsi="Calibri"/>
          <w:i/>
          <w:iCs/>
          <w:color w:val="6B7280"/>
          <w:sz w:val="19"/>
          <w:szCs w:val="19"/>
        </w:rPr>
        <w:t xml:space="preserve">Meridian Commerce Group</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FORMAL NOTICE — CONTRACT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2026-09-21T20:26:52.025Z</dcterms:created>
  <dcterms:modified xsi:type="dcterms:W3CDTF">2026-09-21T20:26:52.025Z</dcterms:modified>
</cp:coreProperties>
</file>

<file path=docProps/custom.xml><?xml version="1.0" encoding="utf-8"?>
<Properties xmlns="http://schemas.openxmlformats.org/officeDocument/2006/custom-properties" xmlns:vt="http://schemas.openxmlformats.org/officeDocument/2006/docPropsVTypes"/>
</file>