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COMP-2025-NVWA: Corrective Action Plan — NVWA Citation 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COMP-2025-NVWA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NVWA Citation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NVWA-2025-CIT-04412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Citation Date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12 June 2025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 Submitted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15 July 2025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MCG Contact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Dr. Elena Vasquez, Chief Compliance Officer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 Progress — 3 of 5 actions on track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Inspection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Expected Q1 2026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Citation Summary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On 12 June 2025, the Netherlands Food and Consumer Product Safety Authority (NVWA) conducted a routine inspection at MCG's Rotterdam Distribution Center (Europaweg 120, 3199 LD Rotterdam). The inspection identified 5 findings: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F1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Major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Lot numbers not consistently captured at goods receipt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Major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Unable to complete product trace within 24 hours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F3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Significant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Country of origin missing for 12% of fresh produce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F4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Significant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Sub-tier supplier relationships not documented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F5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Observation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Inconsistent timestamp formats in temperature records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Corrective Action Status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D7C8F"/>
          <w:sz w:val="26"/>
          <w:szCs w:val="26"/>
        </w:rPr>
        <w:t xml:space="preserve">2.1 Action 1: Lot Number Capture (F1)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Target: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100% lot capture for all food products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Deadline: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01 October 2025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Status: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93% complete — On Track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WMS goods receipt forms converted from free-text to structured input with validation. Blank lot numbers now blocked at system level. Remaining 7% are legacy warehouse locations using older handheld scanners that require firmware update (scheduled for October).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D7C8F"/>
          <w:sz w:val="26"/>
          <w:szCs w:val="26"/>
        </w:rPr>
        <w:t xml:space="preserve">2.2 Action 2: Store Receipt Tracking (F2)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Target: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90% lot-level tracking at retail stores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Deadline: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01 March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Status: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78% complete — In Progress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Store POS systems being updated to scan and record lot numbers at receipt. 78% of stores (890 of 1,140) now have the capability. Remaining 250 stores (primarily MCG Express format) require POS hardware upgrade.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D7C8F"/>
          <w:sz w:val="26"/>
          <w:szCs w:val="26"/>
        </w:rPr>
        <w:t xml:space="preserve">2.3 Action 3: Unified Traceability (F2)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Target: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Single-query traceability across SAP, WMS, TMS, Salesforce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Deadline: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Project CLARITY Phase 1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Status: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Business case submitted — Pending CIO approval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This corrective action depends on the implementation of Project CLARITY, which will create a unified data layer connecting all 4 traceability systems. Business case presented to senior leadership on 15 October 2025. CIO review scheduled for 31 October 2025.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D7C8F"/>
          <w:sz w:val="26"/>
          <w:szCs w:val="26"/>
        </w:rPr>
        <w:t xml:space="preserve">2.4 Action 4: Sub-Tier Supplier Mapping (F4)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Target: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80% of food suppliers with documented sub-tier relationships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Deadline: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01 January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Status: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36% complete — At Risk 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C4922E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2F4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This action is at risk. Only 36% of food suppliers have provided sub-tier documentation. Many suppliers cite commercial confidentiality. The Fresh Direct lettuce recall demonstrated the risk of undisclosed sub-tier suppliers.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D7C8F"/>
          <w:sz w:val="26"/>
          <w:szCs w:val="26"/>
        </w:rPr>
        <w:t xml:space="preserve">2.5 Action 5: Country of Origin Compliance (F3)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Target: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100% country of origin for fresh produce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Deadline: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01 November 2025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Status: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88% complete — On Track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Procurement team has updated supplier requirements. 88% of fresh produce SKUs now have validated country of origin. Remaining 12% are sourced from multi-origin suppliers where country varies by shipment — process being developed.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Preparation for Q1 2026 Follow-Up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NVWA has indicated a follow-up inspection in Q1 2026. MCG must demonstrate: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100% lot number capture operational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Meaningful progress on store-level tracking (target: 90%)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Approved plan and timeline for unified traceability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Documented progress on sub-tier supplier mapping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Complete country of origin compliance</w:t>
      </w:r>
    </w:p>
    <w:p>
      <w:pPr>
        <w:spacing w:after="0" w:before="400"/>
      </w:pPr>
    </w:p>
    <w:p>
      <w:pPr>
        <w:pBdr>
          <w:bottom w:val="single" w:color="6B7280" w:sz="1" w:space="1"/>
        </w:pBdr>
        <w:spacing w:after="0"/>
      </w:pPr>
      <w:r>
        <w:rPr>
          <w:sz w:val="20"/>
          <w:szCs w:val="20"/>
        </w:rPr>
        <w:t xml:space="preserve">                                                          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Dr. Elena Vasquez</w:t>
      </w:r>
    </w:p>
    <w:p>
      <w:pPr>
        <w:spacing w:after="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Chief Compliance Officer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Legal &amp; Compliance Division</w:t>
      </w:r>
    </w:p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C8F" w:sz="3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Meridian Commerce Group  •  </w:t>
    </w:r>
    <w:r>
      <w:rPr>
        <w:rFonts w:ascii="Calibri" w:cs="Calibri" w:eastAsia="Calibri" w:hAnsi="Calibri"/>
        <w:color w:val="6B7280"/>
        <w:sz w:val="14"/>
        <w:szCs w:val="14"/>
      </w:rPr>
      <w:t xml:space="preserve">Weena 505, 3013 AL Rotterdam, Netherlands</w:t>
    </w:r>
  </w:p>
  <w:p>
    <w:pPr>
      <w:spacing w:after="0" w:before="0"/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+31 10 798 4000  •  www.meridiancommerce.com  •  info@meridiancommerce.com</w:t>
    </w:r>
  </w:p>
  <w:p>
    <w:pPr>
      <w:spacing w:after="0" w:before="40"/>
      <w:jc w:val="center"/>
    </w:pPr>
    <w:r>
      <w:rPr>
        <w:rFonts w:ascii="Calibri" w:cs="Calibri" w:eastAsia="Calibri" w:hAnsi="Calibri"/>
        <w:b/>
        <w:bCs/>
        <w:color w:val="C4922E"/>
        <w:sz w:val="13"/>
        <w:szCs w:val="13"/>
      </w:rPr>
      <w:t xml:space="preserve">CONFIDENTIAL — </w:t>
    </w:r>
    <w:r>
      <w:rPr>
        <w:rFonts w:ascii="Calibri" w:cs="Calibri" w:eastAsia="Calibri" w:hAnsi="Calibri"/>
        <w:color w:val="6B7280"/>
        <w:sz w:val="13"/>
        <w:szCs w:val="13"/>
      </w:rPr>
      <w:t xml:space="preserve">Page </w:t>
    </w:r>
    <w:r>
      <w:rPr>
        <w:rFonts w:ascii="Calibri" w:cs="Calibri" w:eastAsia="Calibri" w:hAnsi="Calibri"/>
        <w:color w:val="6B728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1B2A4A"/>
        <w:sz w:val="28"/>
        <w:szCs w:val="28"/>
      </w:rPr>
      <w:t xml:space="preserve">MERIDIAN</w:t>
    </w:r>
    <w:r>
      <w:rPr>
        <w:rFonts w:ascii="Calibri" w:cs="Calibri" w:eastAsia="Calibri" w:hAnsi="Calibri"/>
        <w:b w:val="false"/>
        <w:bCs w:val="false"/>
        <w:color w:val="1B2A4A"/>
        <w:sz w:val="28"/>
        <w:szCs w:val="28"/>
      </w:rPr>
      <w:t xml:space="preserve"> COMMERCE </w:t>
    </w:r>
    <w:r>
      <w:rPr>
        <w:rFonts w:ascii="Calibri" w:cs="Calibri" w:eastAsia="Calibri" w:hAnsi="Calibri"/>
        <w:b/>
        <w:bCs/>
        <w:color w:val="0D7C8F"/>
        <w:sz w:val="28"/>
        <w:szCs w:val="28"/>
      </w:rPr>
      <w:t xml:space="preserve">GROUP</w:t>
    </w:r>
  </w:p>
  <w:p>
    <w:pPr>
      <w:spacing w:after="0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The neighborhood store with global reach</w:t>
    </w:r>
  </w:p>
  <w:p>
    <w:pPr>
      <w:pBdr>
        <w:bottom w:val="single" w:color="0D7C8F" w:sz="6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Calibri" w:cs="Calibri" w:eastAsia="Calibri" w:hAnsi="Calibri"/>
        <w:b/>
        <w:bCs/>
        <w:caps/>
        <w:color w:val="C4922E"/>
        <w:sz w:val="18"/>
        <w:szCs w:val="18"/>
      </w:rPr>
      <w:t xml:space="preserve">CORRECTIVE ACTION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0D7C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B2A4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2026-06-11T17:13:59.823Z</dcterms:created>
  <dcterms:modified xsi:type="dcterms:W3CDTF">2026-06-11T17:13:59.823Z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