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(7 Tables)</w:t>
      </w:r>
    </w:p>
    <w:p>
      <w:pPr>
        <w:spacing w:after="120"/>
        <w:jc w:val="left"/>
      </w:pPr>
      <w:r>
        <w:rPr>
          <w:rFonts w:ascii="Inter" w:cs="Inter" w:eastAsia="Inter" w:hAnsi="Inter"/>
          <w:b w:val="false"/>
          <w:bCs w:val="false"/>
          <w:i w:val="false"/>
          <w:iCs w:val="false"/>
          <w:color w:val="454659"/>
          <w:sz w:val="21"/>
          <w:szCs w:val="21"/>
        </w:rPr>
        <w:t xml:space="preserve">Gold tables are governed, business-ready data products with Trust Scores, SLAs, and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gold.cold_chain_compliance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Lars Eriksson (Cold Chain &amp;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Exceedance rate: &lt; 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gold.product_master_health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Thomas Berger (Procurement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 &gt; 95%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gold.compliance_traceability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Dr. Elena Vasquez (Chief Compliance Officer)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Lot capture rate: 100%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gold.pipeline_timestamp_audit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Priya Ramanathan (Chief Data Officer)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Trust Score target: 0.95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gold.customer_quality_index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&gt; 0.85</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5-min streaming, 15-min batch</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entire pipeline you just saw — landing tasks, transformations, schedules, and bindings — is also defined as version-controlled YAML in deploy/pipelines/mcg-pipeline/. This is the declarative pipelines capability (QTCP preview): the whole project can be rebuilt on any tenant from the repo.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 in VS Code: qtcp_project.yaml, one folder per task, datasets with custom SQL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Build the import package: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Qlik Cloud: Data Integration &gt; your project &gt; Import — select the generated mcg-pipeline.zip</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bronze/silver/gold pipeline in minutes — and every transformation change has a git history.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7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2026-06-11T17:14:02.728Z</dcterms:created>
  <dcterms:modified xsi:type="dcterms:W3CDTF">2026-06-11T17:14:02.728Z</dcterms:modified>
</cp:coreProperties>
</file>

<file path=docProps/custom.xml><?xml version="1.0" encoding="utf-8"?>
<Properties xmlns="http://schemas.openxmlformats.org/officeDocument/2006/custom-properties" xmlns:vt="http://schemas.openxmlformats.org/officeDocument/2006/docPropsVTypes"/>
</file>