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MCG-POL-007: EU Food Safety and Traceability Compliance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Policy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MCG-POL-007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3.1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01 February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Dr. Elena Vasquez, Chief Compliance Officer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Approved By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Ingrid van der Berg, CEO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Regulatory Basis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EU Regulation (EC) No 178/2002; NVWA Guidelines 2024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Internal — All Business Units handling food products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Applies To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All MCG operations in EU-27 markets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Purpose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This policy establishes MCG's mandatory requirements for food safety compliance and product traceability across all EU operations. It ensures compliance with Article 18 of EU Regulation (EC) No 178/2002, which requires food business operators to trace products 'one step back, one step forward' in the supply chain.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Non-compliance carries significant regulatory, financial, and reputational risk. The June 2025 NVWA citation demonstrated that MCG's current traceability infrastructure is inadequate for regulatory requirements.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Scope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Applies to all MCG operations handling food products in EU-27 markets: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Product categories: Fresh produce, dairy, frozen goods, beverages, health &amp; wellness supplements, eggs, bakery, confectionery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Facilities: All 28 DCs handling food (22 with cold chain capability) and all 1,140 retail stores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Channels: In-store retail, e-commerce, wholesale/B2B, marketplace fulfillment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Supply chain: 340 direct suppliers and approximately 1,200 sub-tier suppliers (actual number uncertain — mapping in progress)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Article 18 Requirements — Traceability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EU Regulation (EC) No 178/2002, Article 18 mandates that food business operators must be able to identify: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One step back: The supplier of every food product (who supplied it, when, what product, what lot)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One step forward: The business customer or store to which every food product was supplied (who received it, when, what quantity)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Product identification: Lot number, product description, quantity, date of transaction</w:t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Target response time for a complete traceability query: 24 hours.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1B2A4A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CURRENT PERFORMANCE: The June 2025 lettuce recall (RCL-2025-003) required 11 days and 65 person-hours of manual cross-referencing across 4 disconnected systems (SAP, WMS, Descartes TMS, Salesforce) to complete full product tracing. This is 10 days beyond the 24-hour regulatory target.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Mandatory Data Elements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Data Element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Current Compliance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Target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Gap Owner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Lot number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Mandatory for all food receipts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93%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VP Warehouse Ops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Country of origin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Mandatory for fresh produce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88%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Supplier identification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Linked to business register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93%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Receipt date/time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Timestamped per delivery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 (timezone issues)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 clean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IT Operations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Store-level lot tracking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Receipt by lot at retail stores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32%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90% by Mar 2026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 Operations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Sub-tier supplier mapping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Required for high-risk products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36%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80% by Jan 2026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Expiry/best-before date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Recorded at receipt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91%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VP Warehouse Ops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Temperature at receipt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Recorded for cold chain products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97%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5. NVWA Citation — June 2025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On 12 June 2025, the Netherlands Food and Consumer Product Safety Authority (NVWA) conducted a routine inspection at MCG's Rotterdam DC (Europaweg 120, 3199 LD Rotterdam) and issued Citation NVWA-2025-CIT-04412: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Finding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Severity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Corrective Action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Major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Lot numbers not consistently captured — free-text field allowed blank entries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WMS field converted to structured input with validation; blank blocked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Major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Unable to complete product trace from supplier to store within 24 hours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Project CLARITY Phase 1 — unified traceability layer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F3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Significant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Country of origin missing for 12% of fresh produce SKUs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 updating supplier requirements; 88% complete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Significant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Sub-tier supplier relationships not documented for 64% of food suppliers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Supplier mapping program; 36% complete (at risk)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F5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Observation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Temperature recording at goods receipt uses inconsistent timestamp formats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Timestamp standardization planned under Project CLARITY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MCG submitted corrective action plan COMP-2025-NVWA on 15 July 2025. NVWA follow-up inspection expected Q1 2026.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Sub-tier mapping (F4) is AT RISK at only 36% complete. Many suppliers cite commercial confidentiality. The Fresh Direct lettuce recall exposed this exact risk — the contaminated farm (FARM-NL-0042) was an undisclosed backup supplier.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6. Record Retention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All traceability records must be maintained for a minimum of 5 years per EU Regulation 178/2002. This includes: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Purchase orders and goods receipt records (SAP and WMS)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Lot number capture records and quality inspection results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Temperature monitoring records (IoT telemetry and manual readings)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Supplier certifications and audit reports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Recall documentation and regulatory correspondence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7. Roles and Responsibilities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Responsibility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Chief Compliance Officer (Dr. Elena Vasquez)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Policy ownership; regulatory liaison; NVWA primary contact; recall authority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VP Warehouse Operations (Henrik Jansen)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Lot number capture at all DCs; goods receipt compliance; cycle count for food traceability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VP Supply Chain (Thomas Brennan)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Cold chain compliance; carrier food safety requirements; in-transit traceability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Head of Procurement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Supplier qualification; sub-tier mapping; country of origin data collection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CDO (Priya Ramanathan)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Data quality monitoring for traceability elements; Project CLARITY delivery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 Operations VPs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Store-level lot tracking deployment; recall execution at retail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Managers (per DC)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Receiving inspection; temperature verification; rejection authority for non-compliant deliveries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8. Non-Compliance Consequences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Internal: Failure to comply with this policy will result in escalation to the CCO and may affect individual performance evaluations. Repeated non-compliance at a facility level triggers a formal compliance audit.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External: Regulatory non-compliance may result in: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NVWA citations and fines (up to €820,000 per incident under Dutch food safety law)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Mandatory product recalls at MCG's expense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Suspension of food handling permits for affected facilities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Reputational damage and loss of consumer trust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9. Revision History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Version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Author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Changes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1.0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2019-03-01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Legal Dept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Initial release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2.0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2022-01-15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E. Vasquez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Updated for NVWA 2021 guidelines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3.0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2025-01-15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E. Vasquez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Post-lettuce recall comprehensive revision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3.1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2025-02-01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E. Vasquez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Added NVWA citation corrective actions; expanded data element table</w:t>
            </w:r>
          </w:p>
        </w:tc>
      </w:tr>
    </w:tbl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Dr. Elena Vasquez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Chief Compliance Officer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Legal &amp; Compliance Division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Ingrid van der Berg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Chief Executive Officer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Meridian Commerce Group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CORPORATE POLICY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2026-06-11T17:13:54.530Z</dcterms:created>
  <dcterms:modified xsi:type="dcterms:W3CDTF">2026-06-11T17:13:54.532Z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