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TRN-2025-001: WMS-SAP Integration — Operational Guide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TRN-2025-001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August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IT Operations — Integration Team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Audience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Warehouse supervisors, inventory analysts, DC managers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Prerequisite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WMS basic operations certification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Overview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guide explains how inventory data flows between MCG's Warehouse Management Systems (WMS) and SAP ERP, including known synchronization delays, timezone handling, and what to do when things go wrong.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System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Flow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(Americas, 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Americas, EU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(APAC)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Associates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APAC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→ CDC → SAP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Central record system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Replication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Replicate (CDC)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Global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15-min batch sync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Synchronization Timing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WMS-to-SAP synchronization runs via Change Data Capture (CDC) in 15-minute batch windows: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If you post a goods receipt in WMS and check SAP immediately, the receipt will NOT be visible. Normal sync lag is 15-30 minutes. Do not escalate until at least 20 minutes have passed.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Event in WMS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in SAP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Normal Delay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Goods receipt posted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position update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Pick confirmed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Cycle count adjustment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Stock adjustment document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Transfer between zones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Storage location change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15-30 minutes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Timestamp Handling — Critical Information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is one of the most common sources of confusion: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Timezone Used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TZ Indicator?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(EU)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CET (UTC+1 / +2 DST)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14:32 (means 14:32 CET)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Oracle WMS (Americas)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Local warehouse 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09:15 (means 09:15 EST/CST/PST)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Manhattan WMS (APAC)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 (mostly)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 (usually)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06:32 UTC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SAP S/4HANA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 UTC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IoT Sensors (Tive)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UTC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12:02:34.567 UTC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EXAMPLE: WMS shows receipt at '14:32' in Rotterdam (CET). SAP shows same receipt at '12:32 UTC'. These are the SAME TIME (CET = UTC + 2 hours). Do NOT create a discrepancy report for timezone differences.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KNOWN ISSUE: Some APAC DCs (specifically Singapore and Jakarta) have Manhattan WMS misconfigured to use local time instead of UTC. IT is aware and correction is planned for Q1 2026.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Daily Manual Sync Check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Until automated monitoring is fully deployed (Project CLARITY), all DC supervisors must perform a daily manual sync check: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At 08:00 local time, select 5 random transactions from yesterday's WMS activity log.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Verify each transaction appears in SAP with matching quantities.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Record results in the Daily Sync Check spreadsheet.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If any transaction is missing from SAP, escalate to IT Operations immediately.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1F2937"/>
          <w:sz w:val="21"/>
          <w:szCs w:val="21"/>
        </w:rPr>
        <w:t xml:space="preserve">Estimated time: 15-20 minutes per day.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Phantom Inventory — How It Happens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Phantom inventory occurs when SAP shows stock that doesn't physically exist. Common causes: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Silent pipeline failure: WMS-SAP sync stops, SAP retains old quantities (see INC-2025-04872).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Picks confirmed in WMS but sync batch fails before reaching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Damaged goods written off in WMS but not yet synced to SAP.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Returns processed in SAP but not yet received in WMS.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phantom inventory rate: 26% of total discrepancy (IRA at 74% vs 97% target). This is MCG's #1 data quality nightmare, costing an estimated $48M annually in misallocated stock, emergency transfers, and lost sales.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Escalation Contacts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 SLA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Sync delay &gt; 1 hour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Help Desk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 hours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Missing transactions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Integration Team Lead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Suspected pipeline failure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Ops On-Call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hour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discrepancy &gt; 10%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Inventory Control Manager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Immediate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Marcus Chen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Information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IT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TRAINING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2026-06-11T17:13:59.650Z</dcterms:created>
  <dcterms:modified xsi:type="dcterms:W3CDTF">2026-06-11T17:13:59.651Z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