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FedEx Americas — 2025 Annual Rate Card</w:t>
      </w:r>
    </w:p>
    <w:p>
      <w:pPr>
        <w:spacing w:after="120"/>
        <w:jc w:val="left"/>
      </w:pPr>
      <w:r>
        <w:rPr>
          <w:rFonts w:ascii="Calibri" w:cs="Calibri" w:eastAsia="Calibri" w:hAnsi="Calibri"/>
          <w:b/>
          <w:bCs/>
          <w:i w:val="false"/>
          <w:iCs w:val="false"/>
          <w:color w:val="6B7280"/>
          <w:sz w:val="24"/>
          <w:szCs w:val="24"/>
        </w:rPr>
        <w:t xml:space="preserve">Negotiated Enterprise Pricing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Document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CARRIER-FEDEX-2025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Effective Period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January 2025 — 31 December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Master Agreement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MSA-2021-FDX-US-003 (Annual Renewal)</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MCG Entity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Meridian Commerce Group Inc. (DE Corp, EIN 84-2937654)</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FedEx Entity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Federal Express Corporation</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MCG Contact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Carlos Rivera, Director of Logistics, Americas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FedEx Contact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Diane Kowalski, Senior Account Executive</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MCG Account Number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FDX-ENT-4827391</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Currency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USD</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Pricing Basis</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Published Rate minus negotiated discount</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Document Classification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CONFIDENTIAL — Commercial Terms</w:t>
            </w:r>
          </w:p>
        </w:tc>
      </w:tr>
    </w:tbl>
    <w:p>
      <w:pPr>
        <w:pBdr>
          <w:bottom w:val="single" w:color="0D7C8F" w:sz="2" w:space="4"/>
        </w:pBdr>
        <w:spacing w:after="160" w:before="360"/>
      </w:pPr>
      <w:r>
        <w:rPr>
          <w:rFonts w:ascii="Calibri" w:cs="Calibri" w:eastAsia="Calibri" w:hAnsi="Calibri"/>
          <w:b/>
          <w:bCs/>
          <w:color w:val="1B2A4A"/>
          <w:sz w:val="30"/>
          <w:szCs w:val="30"/>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Version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Description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Authorized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 Nov 2024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Initial 2025 rate card proposal from FedEx</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 Kowalski</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02 Dec 2024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MCG counter-proposal with volume discount adjustment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 Rivera</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18 Dec 2024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Final negotiated rates — both parties agreed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 Rivera / D. Kowalski</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06 Jan 2025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Correction to Zone 7-8 Express rates (typographical error)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 Kowalski</w:t>
            </w:r>
          </w:p>
        </w:tc>
      </w:tr>
    </w:tbl>
    <w:p>
      <w:pPr>
        <w:pBdr>
          <w:bottom w:val="single" w:color="0D7C8F" w:sz="2" w:space="4"/>
        </w:pBdr>
        <w:spacing w:after="160" w:before="360"/>
      </w:pPr>
      <w:r>
        <w:rPr>
          <w:rFonts w:ascii="Calibri" w:cs="Calibri" w:eastAsia="Calibri" w:hAnsi="Calibri"/>
          <w:b/>
          <w:bCs/>
          <w:color w:val="1B2A4A"/>
          <w:sz w:val="30"/>
          <w:szCs w:val="30"/>
        </w:rPr>
        <w:t xml:space="preserve">1. Definitions</w:t>
      </w:r>
    </w:p>
    <w:p>
      <w:pPr>
        <w:spacing w:after="120"/>
        <w:jc w:val="left"/>
      </w:pPr>
      <w:r>
        <w:rPr>
          <w:rFonts w:ascii="Calibri" w:cs="Calibri" w:eastAsia="Calibri" w:hAnsi="Calibri"/>
          <w:b w:val="false"/>
          <w:bCs w:val="false"/>
          <w:i w:val="false"/>
          <w:iCs w:val="false"/>
          <w:color w:val="1F2937"/>
          <w:sz w:val="21"/>
          <w:szCs w:val="21"/>
        </w:rPr>
        <w:t xml:space="preserve">"Actual Weight" means the weight of a package as measured on a calibrated scale, rounded up to the next whole pound.</w:t>
      </w:r>
    </w:p>
    <w:p>
      <w:pPr>
        <w:spacing w:after="120"/>
        <w:jc w:val="left"/>
      </w:pPr>
      <w:r>
        <w:rPr>
          <w:rFonts w:ascii="Calibri" w:cs="Calibri" w:eastAsia="Calibri" w:hAnsi="Calibri"/>
          <w:b w:val="false"/>
          <w:bCs w:val="false"/>
          <w:i w:val="false"/>
          <w:iCs w:val="false"/>
          <w:color w:val="1F2937"/>
          <w:sz w:val="21"/>
          <w:szCs w:val="21"/>
        </w:rPr>
        <w:t xml:space="preserve">"Billable Weight" means the greater of Actual Weight and Dimensional Weight for any given package.</w:t>
      </w:r>
    </w:p>
    <w:p>
      <w:pPr>
        <w:spacing w:after="120"/>
        <w:jc w:val="left"/>
      </w:pPr>
      <w:r>
        <w:rPr>
          <w:rFonts w:ascii="Calibri" w:cs="Calibri" w:eastAsia="Calibri" w:hAnsi="Calibri"/>
          <w:b w:val="false"/>
          <w:bCs w:val="false"/>
          <w:i w:val="false"/>
          <w:iCs w:val="false"/>
          <w:color w:val="1F2937"/>
          <w:sz w:val="21"/>
          <w:szCs w:val="21"/>
        </w:rPr>
        <w:t xml:space="preserve">"Delivery Area Surcharge (DAS)" means the additional charge applied to packages destined for ZIP codes designated by FedEx as extended delivery areas.</w:t>
      </w:r>
    </w:p>
    <w:p>
      <w:pPr>
        <w:spacing w:after="120"/>
        <w:jc w:val="left"/>
      </w:pPr>
      <w:r>
        <w:rPr>
          <w:rFonts w:ascii="Calibri" w:cs="Calibri" w:eastAsia="Calibri" w:hAnsi="Calibri"/>
          <w:b w:val="false"/>
          <w:bCs w:val="false"/>
          <w:i w:val="false"/>
          <w:iCs w:val="false"/>
          <w:color w:val="1F2937"/>
          <w:sz w:val="21"/>
          <w:szCs w:val="21"/>
        </w:rPr>
        <w:t xml:space="preserve">"DIM Factor" means the divisor used to calculate Dimensional Weight. For FedEx 2025, the DIM Factor is 139 for domestic and 139 for international shipments.</w:t>
      </w:r>
    </w:p>
    <w:p>
      <w:pPr>
        <w:spacing w:after="120"/>
        <w:jc w:val="left"/>
      </w:pPr>
      <w:r>
        <w:rPr>
          <w:rFonts w:ascii="Calibri" w:cs="Calibri" w:eastAsia="Calibri" w:hAnsi="Calibri"/>
          <w:b w:val="false"/>
          <w:bCs w:val="false"/>
          <w:i w:val="false"/>
          <w:iCs w:val="false"/>
          <w:color w:val="1F2937"/>
          <w:sz w:val="21"/>
          <w:szCs w:val="21"/>
        </w:rPr>
        <w:t xml:space="preserve">"Dimensional Weight" means the calculated weight of a package based on its dimensions: (Length x Width x Height in inches) / DIM Factor, rounded up to the next whole pound.</w:t>
      </w:r>
    </w:p>
    <w:p>
      <w:pPr>
        <w:spacing w:after="120"/>
        <w:jc w:val="left"/>
      </w:pPr>
      <w:r>
        <w:rPr>
          <w:rFonts w:ascii="Calibri" w:cs="Calibri" w:eastAsia="Calibri" w:hAnsi="Calibri"/>
          <w:b w:val="false"/>
          <w:bCs w:val="false"/>
          <w:i w:val="false"/>
          <w:iCs w:val="false"/>
          <w:color w:val="1F2937"/>
          <w:sz w:val="21"/>
          <w:szCs w:val="21"/>
        </w:rPr>
        <w:t xml:space="preserve">"Ground Service" means FedEx Ground and FedEx Home Delivery services with transit times based on origin/destination zone pairs.</w:t>
      </w:r>
    </w:p>
    <w:p>
      <w:pPr>
        <w:spacing w:after="120"/>
        <w:jc w:val="left"/>
      </w:pPr>
      <w:r>
        <w:rPr>
          <w:rFonts w:ascii="Calibri" w:cs="Calibri" w:eastAsia="Calibri" w:hAnsi="Calibri"/>
          <w:b w:val="false"/>
          <w:bCs w:val="false"/>
          <w:i w:val="false"/>
          <w:iCs w:val="false"/>
          <w:color w:val="1F2937"/>
          <w:sz w:val="21"/>
          <w:szCs w:val="21"/>
        </w:rPr>
        <w:t xml:space="preserve">"List Rate" means the published FedEx standard rate before application of any negotiated discounts.</w:t>
      </w:r>
    </w:p>
    <w:p>
      <w:pPr>
        <w:spacing w:after="120"/>
        <w:jc w:val="left"/>
      </w:pPr>
      <w:r>
        <w:rPr>
          <w:rFonts w:ascii="Calibri" w:cs="Calibri" w:eastAsia="Calibri" w:hAnsi="Calibri"/>
          <w:b w:val="false"/>
          <w:bCs w:val="false"/>
          <w:i w:val="false"/>
          <w:iCs w:val="false"/>
          <w:color w:val="1F2937"/>
          <w:sz w:val="21"/>
          <w:szCs w:val="21"/>
        </w:rPr>
        <w:t xml:space="preserve">"Net Rate" means the List Rate minus the applicable MCG negotiated discount percentage.</w:t>
      </w:r>
    </w:p>
    <w:p>
      <w:pPr>
        <w:spacing w:after="120"/>
        <w:jc w:val="left"/>
      </w:pPr>
      <w:r>
        <w:rPr>
          <w:rFonts w:ascii="Calibri" w:cs="Calibri" w:eastAsia="Calibri" w:hAnsi="Calibri"/>
          <w:b w:val="false"/>
          <w:bCs w:val="false"/>
          <w:i w:val="false"/>
          <w:iCs w:val="false"/>
          <w:color w:val="1F2937"/>
          <w:sz w:val="21"/>
          <w:szCs w:val="21"/>
        </w:rPr>
        <w:t xml:space="preserve">"Zone" means the FedEx-designated geographic zone determined by the distance between origin and destination ZIP codes, ranging from Zone 1 (local) through Zone 8 (cross-country).</w:t>
      </w:r>
    </w:p>
    <w:p>
      <w:pPr>
        <w:pBdr>
          <w:bottom w:val="single" w:color="0D7C8F" w:sz="2" w:space="4"/>
        </w:pBdr>
        <w:spacing w:after="160" w:before="360"/>
      </w:pPr>
      <w:r>
        <w:rPr>
          <w:rFonts w:ascii="Calibri" w:cs="Calibri" w:eastAsia="Calibri" w:hAnsi="Calibri"/>
          <w:b/>
          <w:bCs/>
          <w:color w:val="1B2A4A"/>
          <w:sz w:val="30"/>
          <w:szCs w:val="30"/>
        </w:rPr>
        <w:t xml:space="preserve">2. Ground Service Rates</w:t>
      </w:r>
    </w:p>
    <w:p>
      <w:pPr>
        <w:spacing w:after="120" w:before="280"/>
      </w:pPr>
      <w:r>
        <w:rPr>
          <w:rFonts w:ascii="Calibri" w:cs="Calibri" w:eastAsia="Calibri" w:hAnsi="Calibri"/>
          <w:b/>
          <w:bCs/>
          <w:color w:val="0D7C8F"/>
          <w:sz w:val="26"/>
          <w:szCs w:val="26"/>
        </w:rPr>
        <w:t xml:space="preserve">2.1 FedEx Ground — Commercial Delivery Rates</w:t>
      </w:r>
    </w:p>
    <w:p>
      <w:pPr>
        <w:spacing w:after="120"/>
        <w:jc w:val="left"/>
      </w:pPr>
      <w:r>
        <w:rPr>
          <w:rFonts w:ascii="Calibri" w:cs="Calibri" w:eastAsia="Calibri" w:hAnsi="Calibri"/>
          <w:b w:val="false"/>
          <w:bCs w:val="false"/>
          <w:i w:val="false"/>
          <w:iCs w:val="false"/>
          <w:color w:val="1F2937"/>
          <w:sz w:val="21"/>
          <w:szCs w:val="21"/>
        </w:rPr>
        <w:t xml:space="preserve">The following rates apply to commercial (business) address deliveries via FedEx Ground. All rates are per package in USD. Rates shown are Net Rates (after MCG 19% volume discount).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Weight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1</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2</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3</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4</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5</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6</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7</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8</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$6.08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$6.68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$7.05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$7.37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$7.86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$8.42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$8.75</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$6.32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$6.72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$7.13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$7.62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$8.10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$8.75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$9.45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$9.88</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$6.64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$7.12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$7.69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$8.35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$9.01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$9.82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$10.68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$11.23</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$7.45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$8.08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$8.93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$9.88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$10.88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$12.02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$13.21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$14.04</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$10.37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$11.43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$14.35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$15.97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$17.82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$19.80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$21.28</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$12.72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$14.18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$16.04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$18.12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$20.33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$22.82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$25.52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$27.56</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$14.99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$16.85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$19.20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$21.84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$24.62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$27.78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$31.16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$33.80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$17.01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$19.28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$22.12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$25.32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$28.68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$32.50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$36.56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$39.80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$18.90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$21.56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$24.88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$28.64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$32.58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$37.06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$41.82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$45.64</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40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$22.36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$30.04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$34.80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$39.82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$45.56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$51.72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$56.68</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50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$25.60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$29.72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$34.88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$40.64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$46.72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$53.72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$61.24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$67.30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60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$30.78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$35.40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$41.56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$48.24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$55.48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$63.76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$72.68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$79.82</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70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$35.42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$40.74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$47.86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$55.56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$63.88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$73.44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$83.72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$92.02</w:t>
            </w:r>
          </w:p>
        </w:tc>
      </w:tr>
    </w:tbl>
    <w:p>
      <w:pPr>
        <w:spacing w:after="120" w:before="280"/>
      </w:pPr>
      <w:r>
        <w:rPr>
          <w:rFonts w:ascii="Calibri" w:cs="Calibri" w:eastAsia="Calibri" w:hAnsi="Calibri"/>
          <w:b/>
          <w:bCs/>
          <w:color w:val="0D7C8F"/>
          <w:sz w:val="26"/>
          <w:szCs w:val="26"/>
        </w:rPr>
        <w:t xml:space="preserve">2.2 FedEx Home Delivery — Residential Rates</w:t>
      </w:r>
    </w:p>
    <w:p>
      <w:pPr>
        <w:spacing w:after="120"/>
        <w:jc w:val="left"/>
      </w:pPr>
      <w:r>
        <w:rPr>
          <w:rFonts w:ascii="Calibri" w:cs="Calibri" w:eastAsia="Calibri" w:hAnsi="Calibri"/>
          <w:b w:val="false"/>
          <w:bCs w:val="false"/>
          <w:i w:val="false"/>
          <w:iCs w:val="false"/>
          <w:color w:val="1F2937"/>
          <w:sz w:val="21"/>
          <w:szCs w:val="21"/>
        </w:rPr>
        <w:t xml:space="preserve">FedEx Home Delivery rates apply to all residential addresses. Rates include the standard residential surcharge but exclude other applicable surcharges.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Weight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1</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2</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3</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4</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5</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6</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7</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8</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$7.12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$7.52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$7.88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$8.32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$8.74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$9.32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$10.44</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$7.42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$7.92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$8.42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$9.02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$9.62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$10.38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$11.22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$11.76</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$8.76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$9.52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$10.54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$11.68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$12.88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$14.24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$15.68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$16.68</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$12.22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$13.48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$15.10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$16.94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$18.88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$21.08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$23.44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$25.24</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$17.64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$19.84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$22.64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$25.78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$29.10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$32.86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$36.86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$40.02</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$22.26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$25.42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$29.36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$33.80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$38.48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$43.78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$49.44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$54.02</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50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$30.16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$35.06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$41.16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$47.98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$55.18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$63.44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$72.36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$79.56</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70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$41.74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$48.02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$56.44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$65.56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$75.38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$86.66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$98.80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$108.62</w:t>
            </w:r>
          </w:p>
        </w:tc>
      </w:tr>
    </w:tbl>
    <w:p>
      <w:pPr>
        <w:pBdr>
          <w:bottom w:val="single" w:color="0D7C8F" w:sz="2" w:space="4"/>
        </w:pBdr>
        <w:spacing w:after="160" w:before="360"/>
      </w:pPr>
      <w:r>
        <w:rPr>
          <w:rFonts w:ascii="Calibri" w:cs="Calibri" w:eastAsia="Calibri" w:hAnsi="Calibri"/>
          <w:b/>
          <w:bCs/>
          <w:color w:val="1B2A4A"/>
          <w:sz w:val="30"/>
          <w:szCs w:val="30"/>
        </w:rPr>
        <w:t xml:space="preserve">3. Express Service Rates</w:t>
      </w:r>
    </w:p>
    <w:p>
      <w:pPr>
        <w:spacing w:after="120" w:before="280"/>
      </w:pPr>
      <w:r>
        <w:rPr>
          <w:rFonts w:ascii="Calibri" w:cs="Calibri" w:eastAsia="Calibri" w:hAnsi="Calibri"/>
          <w:b/>
          <w:bCs/>
          <w:color w:val="0D7C8F"/>
          <w:sz w:val="26"/>
          <w:szCs w:val="26"/>
        </w:rPr>
        <w:t xml:space="preserve">3.1 Express Service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Service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Transit Time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Weight Limit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Base Multiplier (vs Ground)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Cutoff Time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Saturday Delivery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Express Saver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 business days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150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Ground + 40%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3:00 PM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FedEx 2Day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 business days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150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Ground + 75%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3:00 PM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Available (+$16)</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2Day A.M.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 business days (AM)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150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Ground + 100%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2:00 PM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FedEx Standard Overnight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Next business day (by 4:30 PM)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150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Ground + 120%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5:00 PM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Available (+$16)</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Priority Overnight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Next business day (by 10:30 AM)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150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Ground + 160%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5:00 PM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Available (+$16)</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FedEx First Overnight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Next business day (by 8:00 AM)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150 lb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Ground + 220%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5:00 PM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No</w:t>
            </w:r>
          </w:p>
        </w:tc>
      </w:tr>
    </w:tbl>
    <w:p>
      <w:pPr>
        <w:spacing w:after="120" w:before="280"/>
      </w:pPr>
      <w:r>
        <w:rPr>
          <w:rFonts w:ascii="Calibri" w:cs="Calibri" w:eastAsia="Calibri" w:hAnsi="Calibri"/>
          <w:b/>
          <w:bCs/>
          <w:color w:val="0D7C8F"/>
          <w:sz w:val="26"/>
          <w:szCs w:val="26"/>
        </w:rPr>
        <w:t xml:space="preserve">3.2 MCG Express Usage Profile (FY2024)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Service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Annual Packages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 of Total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Annual Spend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Avg Cost/Package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Ground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812,300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65.1%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$12,847,000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$15.82</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FedEx Home Delivery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247,600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19.9%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$5,182,000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$20.93</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Express Saver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98,400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$2,461,000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$25.01</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FedEx 2Day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62,100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$2,108,000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$33.94</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Standard Overnight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18,700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$842,000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$45.03</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FedEx Priority Overnight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6,200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$372,000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$60.00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First Overnight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1,700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$149,000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$87.65</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TOTAL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1,247,000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$23,961,000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$19.21 avg</w:t>
            </w:r>
          </w:p>
        </w:tc>
      </w:tr>
    </w:tbl>
    <w:p>
      <w:pPr>
        <w:pBdr>
          <w:bottom w:val="single" w:color="0D7C8F" w:sz="2" w:space="4"/>
        </w:pBdr>
        <w:spacing w:after="160" w:before="360"/>
      </w:pPr>
      <w:r>
        <w:rPr>
          <w:rFonts w:ascii="Calibri" w:cs="Calibri" w:eastAsia="Calibri" w:hAnsi="Calibri"/>
          <w:b/>
          <w:bCs/>
          <w:color w:val="1B2A4A"/>
          <w:sz w:val="30"/>
          <w:szCs w:val="30"/>
        </w:rPr>
        <w:t xml:space="preserve">4. Dimensional Weight Calculation</w:t>
      </w:r>
    </w:p>
    <w:p>
      <w:pPr>
        <w:spacing w:after="120" w:before="280"/>
      </w:pPr>
      <w:r>
        <w:rPr>
          <w:rFonts w:ascii="Calibri" w:cs="Calibri" w:eastAsia="Calibri" w:hAnsi="Calibri"/>
          <w:b/>
          <w:bCs/>
          <w:color w:val="0D7C8F"/>
          <w:sz w:val="26"/>
          <w:szCs w:val="26"/>
        </w:rPr>
        <w:t xml:space="preserve">4.1 DIM Weight Formula</w:t>
      </w:r>
    </w:p>
    <w:p>
      <w:pPr>
        <w:spacing w:after="120"/>
        <w:jc w:val="left"/>
      </w:pPr>
      <w:r>
        <w:rPr>
          <w:rFonts w:ascii="Calibri" w:cs="Calibri" w:eastAsia="Calibri" w:hAnsi="Calibri"/>
          <w:b w:val="false"/>
          <w:bCs w:val="false"/>
          <w:i w:val="false"/>
          <w:iCs w:val="false"/>
          <w:color w:val="1F2937"/>
          <w:sz w:val="21"/>
          <w:szCs w:val="21"/>
        </w:rPr>
        <w:t xml:space="preserve">FedEx applies Dimensional Weight pricing when the Dimensional Weight exceeds the Actual Weight of a package. The billable weight is always the greater of Actual Weight and Dimensional Weight.</w:t>
      </w:r>
    </w:p>
    <w:p>
      <w:pPr>
        <w:spacing w:after="120"/>
        <w:jc w:val="left"/>
      </w:pPr>
      <w:r>
        <w:rPr>
          <w:rFonts w:ascii="Calibri" w:cs="Calibri" w:eastAsia="Calibri" w:hAnsi="Calibri"/>
          <w:b/>
          <w:bCs/>
          <w:i w:val="false"/>
          <w:iCs w:val="false"/>
          <w:color w:val="1F2937"/>
          <w:sz w:val="21"/>
          <w:szCs w:val="21"/>
        </w:rPr>
        <w:t xml:space="preserve">Dimensional Weight (lb) = (Length x Width x Height in inches) / 139</w:t>
      </w:r>
    </w:p>
    <w:p>
      <w:pPr>
        <w:spacing w:after="120"/>
        <w:jc w:val="left"/>
      </w:pPr>
      <w:r>
        <w:rPr>
          <w:rFonts w:ascii="Calibri" w:cs="Calibri" w:eastAsia="Calibri" w:hAnsi="Calibri"/>
          <w:b w:val="false"/>
          <w:bCs w:val="false"/>
          <w:i w:val="false"/>
          <w:iCs w:val="false"/>
          <w:color w:val="1F2937"/>
          <w:sz w:val="21"/>
          <w:szCs w:val="21"/>
        </w:rPr>
        <w:t xml:space="preserve">Example: A package measuring 24" x 18" x 12" = 5,184 cubic inches / 139 = 37.3 lb DIM weight. If actual weight is 15 lb, FedEx bills at 38 lb (DIM weight rounded up).</w:t>
      </w:r>
    </w:p>
    <w:p>
      <w:pPr>
        <w:spacing w:after="120" w:before="280"/>
      </w:pPr>
      <w:r>
        <w:rPr>
          <w:rFonts w:ascii="Calibri" w:cs="Calibri" w:eastAsia="Calibri" w:hAnsi="Calibri"/>
          <w:b/>
          <w:bCs/>
          <w:color w:val="0D7C8F"/>
          <w:sz w:val="26"/>
          <w:szCs w:val="26"/>
        </w:rPr>
        <w:t xml:space="preserve">4.2 DIM Weight Impact on MCG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MCG DATA QUALITY ISSUE: 8,200 products in the MCG product master database (out of 47,000 active SKUs) have missing or incorrect weight and/or dimension data. This represents 17.4% of all SKUs. Products without dimensions default to the maximum package size for their product category, resulting in systematic overbilling. Estimated annual impact: $2.1M in excess shipping costs.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Product Category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Total SKUs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Missing Weight Data</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Missing Dimensions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Both Missing</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Est. Annual Overbilling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Electronics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12,400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$624,000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Home &amp; Living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8,600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960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$412,000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Apparel &amp; Fashion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14,200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$318,000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Sports &amp; Outdoor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4,800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360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$286,000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Beauty &amp; Personal Care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3,800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$198,000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Kitchen &amp; Dining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3,200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$262,000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TOTAL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47,000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2,700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4,120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$2,100,000</w:t>
            </w:r>
          </w:p>
        </w:tc>
      </w:tr>
    </w:tbl>
    <w:p>
      <w:pPr>
        <w:spacing w:after="120"/>
        <w:jc w:val="left"/>
      </w:pPr>
      <w:r>
        <w:rPr>
          <w:rFonts w:ascii="Calibri" w:cs="Calibri" w:eastAsia="Calibri" w:hAnsi="Calibri"/>
          <w:b w:val="false"/>
          <w:bCs w:val="false"/>
          <w:i w:val="false"/>
          <w:iCs w:val="false"/>
          <w:color w:val="1F2937"/>
          <w:sz w:val="21"/>
          <w:szCs w:val="21"/>
        </w:rPr>
        <w:t xml:space="preserve">Action Required: MCG Product Data team to remediate missing weight/dimension data. Priority should be given to Electronics (highest dollar impact) and high-velocity SKUs (top 20% by unit sales). Estimated remediation effort: 400 person-hours for manual measurement and data entry.</w:t>
      </w:r>
    </w:p>
    <w:p>
      <w:pPr>
        <w:pBdr>
          <w:bottom w:val="single" w:color="0D7C8F" w:sz="2" w:space="4"/>
        </w:pBdr>
        <w:spacing w:after="160" w:before="360"/>
      </w:pPr>
      <w:r>
        <w:rPr>
          <w:rFonts w:ascii="Calibri" w:cs="Calibri" w:eastAsia="Calibri" w:hAnsi="Calibri"/>
          <w:b/>
          <w:bCs/>
          <w:color w:val="1B2A4A"/>
          <w:sz w:val="30"/>
          <w:szCs w:val="30"/>
        </w:rPr>
        <w:t xml:space="preserve">5. 2025 Surcharge Schedule</w:t>
      </w:r>
    </w:p>
    <w:p>
      <w:pPr>
        <w:spacing w:after="120" w:before="280"/>
      </w:pPr>
      <w:r>
        <w:rPr>
          <w:rFonts w:ascii="Calibri" w:cs="Calibri" w:eastAsia="Calibri" w:hAnsi="Calibri"/>
          <w:b/>
          <w:bCs/>
          <w:color w:val="0D7C8F"/>
          <w:sz w:val="26"/>
          <w:szCs w:val="26"/>
        </w:rPr>
        <w:t xml:space="preserve">5.1 Standard Surcharges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Surcharge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Amount (USD)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Applies To</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Trigger Condition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Fuel surcharge (Ground)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Variable (avg 8.5%)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All Ground/Home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Indexed to DOE diesel price weekly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Fuel surcharge (Express)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Variable (avg 11.0%)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All Express services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Indexed to DOE jet fuel price weekly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Residential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All non-commercial addresses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Automatic — address classification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Address correction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$21.00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Invalid, incomplete, or undeliverable address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Oversize — Level 1 (&gt; 48" any side)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$32.50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Any single dimension &gt; 48 inches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Oversize — Level 2 (&gt; 96" L+girth)</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$112.00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Length + 2(W+H) &gt; 96 inches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Additional handling — weight (&gt; 50 lb)</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$18.00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Actual weight &gt; 50 lb</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Additional handling — dimensions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$18.00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Any side &gt; 30 inches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Additional handling — packaging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$18.00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Non-standard packaging (tubes, bags, etc.)</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Delivery area surcharge (DAS)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Extended ZIP codes per FedEx list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DAS — Extended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Remote ZIP codes per FedEx list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DAS — Residential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$4.90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Extended ZIP + residential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Signature Required — Direct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$6.50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Adult signature at delivery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Signature Required — Indirect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Any person at address may sign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Hazardous Materials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$45.00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DOT-classified hazardous materials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Lithium Battery (standalone)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$22.50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Standalone lithium battery shipments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Weekend/Holiday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$16.00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package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Saturday delivery (where available)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Return label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label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Prepaid return shipping label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Third-party billing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shipment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 charge for MCG enterprise accounts</w:t>
            </w:r>
          </w:p>
        </w:tc>
      </w:tr>
    </w:tbl>
    <w:p>
      <w:pPr>
        <w:spacing w:after="120" w:before="280"/>
      </w:pPr>
      <w:r>
        <w:rPr>
          <w:rFonts w:ascii="Calibri" w:cs="Calibri" w:eastAsia="Calibri" w:hAnsi="Calibri"/>
          <w:b/>
          <w:bCs/>
          <w:color w:val="0D7C8F"/>
          <w:sz w:val="26"/>
          <w:szCs w:val="26"/>
        </w:rPr>
        <w:t xml:space="preserve">5.2 Address Correction Surcharge — MCG Impact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ADDRESS CORRECTION CRISIS: MCG incurred $847,000 in FedEx address correction surcharges in FY2024. At $21.00 per correction across approximately 40,333 affected shipments, this represents 3.2% of all Americas packages. The root cause is the Address Data Catastrophe (Nightmare #2): MCG's address validation system uses a 2019 USPS database that has not been updated. New subdivisions, rezoned addresses, and USPS standardization changes since 2019 are not recognized, triggering corrections on valid addresses.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Quarter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Packages Shipped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Address Corrections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Correction Rate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Surcharge Cost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Top Error Type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Q1 FY2024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298,000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8,420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2.83%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$176,820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Missing apartment/unit number</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Q2 FY2024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312,000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9,180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2.94%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$192,780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Incorrect ZIP+4 code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Q3 FY2024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325,000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10,640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3.27%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$223,440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New subdivision not in DB</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Q4 FY2024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312,000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12,093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3.88%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$253,953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USPS standardization changes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TOTAL FY2024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1,247,000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40,333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3.23%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$846,993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r>
    </w:tbl>
    <w:p>
      <w:pPr>
        <w:spacing w:after="120"/>
        <w:jc w:val="left"/>
      </w:pPr>
      <w:r>
        <w:rPr>
          <w:rFonts w:ascii="Calibri" w:cs="Calibri" w:eastAsia="Calibri" w:hAnsi="Calibri"/>
          <w:b w:val="false"/>
          <w:bCs w:val="false"/>
          <w:i w:val="false"/>
          <w:iCs w:val="false"/>
          <w:color w:val="1F2937"/>
          <w:sz w:val="21"/>
          <w:szCs w:val="21"/>
        </w:rPr>
        <w:t xml:space="preserve">Trend: Address correction rates are increasing quarter-over-quarter as the 2019 USPS database becomes progressively more outdated. At current trajectory, FY2025 address correction costs are projected at $1.12M.</w:t>
      </w:r>
    </w:p>
    <w:p>
      <w:pPr>
        <w:pBdr>
          <w:bottom w:val="single" w:color="0D7C8F" w:sz="2" w:space="4"/>
        </w:pBdr>
        <w:spacing w:after="160" w:before="360"/>
      </w:pPr>
      <w:r>
        <w:rPr>
          <w:rFonts w:ascii="Calibri" w:cs="Calibri" w:eastAsia="Calibri" w:hAnsi="Calibri"/>
          <w:b/>
          <w:bCs/>
          <w:color w:val="1B2A4A"/>
          <w:sz w:val="30"/>
          <w:szCs w:val="30"/>
        </w:rPr>
        <w:t xml:space="preserve">6. Volume Discount Program</w:t>
      </w:r>
    </w:p>
    <w:p>
      <w:pPr>
        <w:spacing w:after="120" w:before="280"/>
      </w:pPr>
      <w:r>
        <w:rPr>
          <w:rFonts w:ascii="Calibri" w:cs="Calibri" w:eastAsia="Calibri" w:hAnsi="Calibri"/>
          <w:b/>
          <w:bCs/>
          <w:color w:val="0D7C8F"/>
          <w:sz w:val="26"/>
          <w:szCs w:val="26"/>
        </w:rPr>
        <w:t xml:space="preserve">6.1 Tier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Tier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Annual Volume (packages)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Discount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Revenue Commitment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Additional Benefits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Bronze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100,000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Base rate (0%)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None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Standard support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Silver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100,000 - 499,999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$1.5M minimum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Dedicated account rep</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Gold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500,000 - 999,999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$7.5M minimum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Priority customer service, quarterly reviews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Platinum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1,000,000 - 2,499,999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$15M minimum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Named account executive, monthly reviews, SLA guarantees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Diamond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2,500,000+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$40M minimum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Executive sponsor, custom SLAs, dedicated ops team</w:t>
            </w:r>
          </w:p>
        </w:tc>
      </w:tr>
    </w:tbl>
    <w:p>
      <w:pPr>
        <w:spacing w:after="120"/>
        <w:jc w:val="left"/>
      </w:pPr>
      <w:r>
        <w:rPr>
          <w:rFonts w:ascii="Calibri" w:cs="Calibri" w:eastAsia="Calibri" w:hAnsi="Calibri"/>
          <w:b/>
          <w:bCs/>
          <w:i w:val="false"/>
          <w:iCs w:val="false"/>
          <w:color w:val="1F2937"/>
          <w:sz w:val="21"/>
          <w:szCs w:val="21"/>
        </w:rPr>
        <w:t xml:space="preserve">MCG Current Status: Platinum Tier</w:t>
      </w:r>
    </w:p>
    <w:p>
      <w:pPr>
        <w:spacing w:after="80"/>
      </w:pPr>
      <w:r>
        <w:rPr>
          <w:rFonts w:ascii="Calibri" w:cs="Calibri" w:eastAsia="Calibri" w:hAnsi="Calibri"/>
          <w:b/>
          <w:bCs/>
          <w:color w:val="1B2A4A"/>
          <w:sz w:val="21"/>
          <w:szCs w:val="21"/>
        </w:rPr>
        <w:t xml:space="preserve">FY2024 Volume: </w:t>
      </w:r>
      <w:r>
        <w:rPr>
          <w:rFonts w:ascii="Calibri" w:cs="Calibri" w:eastAsia="Calibri" w:hAnsi="Calibri"/>
          <w:color w:val="1F2937"/>
          <w:sz w:val="21"/>
          <w:szCs w:val="21"/>
        </w:rPr>
        <w:t xml:space="preserve">1,247,000 packages</w:t>
      </w:r>
    </w:p>
    <w:p>
      <w:pPr>
        <w:spacing w:after="80"/>
      </w:pPr>
      <w:r>
        <w:rPr>
          <w:rFonts w:ascii="Calibri" w:cs="Calibri" w:eastAsia="Calibri" w:hAnsi="Calibri"/>
          <w:b/>
          <w:bCs/>
          <w:color w:val="1B2A4A"/>
          <w:sz w:val="21"/>
          <w:szCs w:val="21"/>
        </w:rPr>
        <w:t xml:space="preserve">FY2024 Gross Spend: </w:t>
      </w:r>
      <w:r>
        <w:rPr>
          <w:rFonts w:ascii="Calibri" w:cs="Calibri" w:eastAsia="Calibri" w:hAnsi="Calibri"/>
          <w:color w:val="1F2937"/>
          <w:sz w:val="21"/>
          <w:szCs w:val="21"/>
        </w:rPr>
        <w:t xml:space="preserve">$29,581,000 (before discount)</w:t>
      </w:r>
    </w:p>
    <w:p>
      <w:pPr>
        <w:spacing w:after="80"/>
      </w:pPr>
      <w:r>
        <w:rPr>
          <w:rFonts w:ascii="Calibri" w:cs="Calibri" w:eastAsia="Calibri" w:hAnsi="Calibri"/>
          <w:b/>
          <w:bCs/>
          <w:color w:val="1B2A4A"/>
          <w:sz w:val="21"/>
          <w:szCs w:val="21"/>
        </w:rPr>
        <w:t xml:space="preserve">FY2024 Discount Value: </w:t>
      </w:r>
      <w:r>
        <w:rPr>
          <w:rFonts w:ascii="Calibri" w:cs="Calibri" w:eastAsia="Calibri" w:hAnsi="Calibri"/>
          <w:color w:val="1F2937"/>
          <w:sz w:val="21"/>
          <w:szCs w:val="21"/>
        </w:rPr>
        <w:t xml:space="preserve">$5,620,000 (19%)</w:t>
      </w:r>
    </w:p>
    <w:p>
      <w:pPr>
        <w:spacing w:after="80"/>
      </w:pPr>
      <w:r>
        <w:rPr>
          <w:rFonts w:ascii="Calibri" w:cs="Calibri" w:eastAsia="Calibri" w:hAnsi="Calibri"/>
          <w:b/>
          <w:bCs/>
          <w:color w:val="1B2A4A"/>
          <w:sz w:val="21"/>
          <w:szCs w:val="21"/>
        </w:rPr>
        <w:t xml:space="preserve">FY2024 Net Spend: </w:t>
      </w:r>
      <w:r>
        <w:rPr>
          <w:rFonts w:ascii="Calibri" w:cs="Calibri" w:eastAsia="Calibri" w:hAnsi="Calibri"/>
          <w:color w:val="1F2937"/>
          <w:sz w:val="21"/>
          <w:szCs w:val="21"/>
        </w:rPr>
        <w:t xml:space="preserve">$23,961,000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VOLUME TIER RISK: MCG's FY2024 volume of 1,247,000 packages places it solidly in the Platinum tier. However, if the LATAM expansion (Project Horizon) proceeds as planned, FY2025 volume is projected at 2,180,000 packages — still below the 2,500,000 Diamond threshold. MCG should negotiate a custom intermediate tier or request early Diamond pricing based on projected growth trajectory. The 5-point discount gap (19% to 24%) represents approximately $1.5M annually at current spend levels.</w:t>
            </w:r>
          </w:p>
        </w:tc>
      </w:tr>
    </w:tbl>
    <w:p>
      <w:pPr>
        <w:pBdr>
          <w:bottom w:val="single" w:color="0D7C8F" w:sz="2" w:space="4"/>
        </w:pBdr>
        <w:spacing w:after="160" w:before="360"/>
      </w:pPr>
      <w:r>
        <w:rPr>
          <w:rFonts w:ascii="Calibri" w:cs="Calibri" w:eastAsia="Calibri" w:hAnsi="Calibri"/>
          <w:b/>
          <w:bCs/>
          <w:color w:val="1B2A4A"/>
          <w:sz w:val="30"/>
          <w:szCs w:val="30"/>
        </w:rPr>
        <w:t xml:space="preserve">7. Service Level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Metric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Ground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Home Delivery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Express Saver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2Day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Overnight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On-time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99%</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Delivery attempt within SLA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97%</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99.5%</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Tracking scan accuracy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99.5%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99.5%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99.8%</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Damage rate (max)</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0.2%</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Loss rate (max)</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0.05%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0.05%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0.02%</w:t>
            </w:r>
          </w:p>
        </w:tc>
      </w:tr>
    </w:tbl>
    <w:p>
      <w:pPr>
        <w:spacing w:after="120" w:before="280"/>
      </w:pPr>
      <w:r>
        <w:rPr>
          <w:rFonts w:ascii="Calibri" w:cs="Calibri" w:eastAsia="Calibri" w:hAnsi="Calibri"/>
          <w:b/>
          <w:bCs/>
          <w:color w:val="0D7C8F"/>
          <w:sz w:val="26"/>
          <w:szCs w:val="26"/>
        </w:rPr>
        <w:t xml:space="preserve">7.1 FedEx Money-Back Guarantee</w:t>
      </w:r>
    </w:p>
    <w:p>
      <w:pPr>
        <w:spacing w:after="120"/>
        <w:jc w:val="left"/>
      </w:pPr>
      <w:r>
        <w:rPr>
          <w:rFonts w:ascii="Calibri" w:cs="Calibri" w:eastAsia="Calibri" w:hAnsi="Calibri"/>
          <w:b w:val="false"/>
          <w:bCs w:val="false"/>
          <w:i w:val="false"/>
          <w:iCs w:val="false"/>
          <w:color w:val="1F2937"/>
          <w:sz w:val="21"/>
          <w:szCs w:val="21"/>
        </w:rPr>
        <w:t xml:space="preserve">FedEx Express services (2Day, Standard Overnight, Priority Overnight, First Overnight) are covered by the FedEx Money-Back Guarantee. If a package is delivered late, MCG is entitled to a full refund of transportation charges for that package.</w:t>
      </w:r>
    </w:p>
    <w:p>
      <w:pPr>
        <w:spacing w:after="120"/>
        <w:jc w:val="left"/>
      </w:pPr>
      <w:r>
        <w:rPr>
          <w:rFonts w:ascii="Calibri" w:cs="Calibri" w:eastAsia="Calibri" w:hAnsi="Calibri"/>
          <w:b w:val="false"/>
          <w:bCs w:val="false"/>
          <w:i w:val="false"/>
          <w:iCs w:val="false"/>
          <w:color w:val="1F2937"/>
          <w:sz w:val="21"/>
          <w:szCs w:val="21"/>
        </w:rPr>
        <w:t xml:space="preserve">Exclusions: The guarantee does not apply during: peak holiday season (Dec 15 - Jan 5), declared weather emergencies, or service disruptions posted on fedex.com/servicealerts.</w:t>
      </w:r>
    </w:p>
    <w:p>
      <w:pPr>
        <w:spacing w:after="120"/>
        <w:jc w:val="left"/>
      </w:pPr>
      <w:r>
        <w:rPr>
          <w:rFonts w:ascii="Calibri" w:cs="Calibri" w:eastAsia="Calibri" w:hAnsi="Calibri"/>
          <w:b w:val="false"/>
          <w:bCs w:val="false"/>
          <w:i w:val="false"/>
          <w:iCs w:val="false"/>
          <w:color w:val="1F2937"/>
          <w:sz w:val="21"/>
          <w:szCs w:val="21"/>
        </w:rPr>
        <w:t xml:space="preserve">Claim Window: Money-Back Guarantee claims must be filed within 15 calendar days of the scheduled delivery date.</w:t>
      </w:r>
    </w:p>
    <w:p>
      <w:pPr>
        <w:pBdr>
          <w:bottom w:val="single" w:color="0D7C8F" w:sz="2" w:space="4"/>
        </w:pBdr>
        <w:spacing w:after="160" w:before="360"/>
      </w:pPr>
      <w:r>
        <w:rPr>
          <w:rFonts w:ascii="Calibri" w:cs="Calibri" w:eastAsia="Calibri" w:hAnsi="Calibri"/>
          <w:b/>
          <w:bCs/>
          <w:color w:val="1B2A4A"/>
          <w:sz w:val="30"/>
          <w:szCs w:val="30"/>
        </w:rPr>
        <w:t xml:space="preserve">8. Claims Procedures and Liability</w:t>
      </w:r>
    </w:p>
    <w:p>
      <w:pPr>
        <w:spacing w:after="120" w:before="280"/>
      </w:pPr>
      <w:r>
        <w:rPr>
          <w:rFonts w:ascii="Calibri" w:cs="Calibri" w:eastAsia="Calibri" w:hAnsi="Calibri"/>
          <w:b/>
          <w:bCs/>
          <w:color w:val="0D7C8F"/>
          <w:sz w:val="26"/>
          <w:szCs w:val="26"/>
        </w:rPr>
        <w:t xml:space="preserve">8.1 Claim Filing</w:t>
      </w:r>
    </w:p>
    <w:p>
      <w:pPr>
        <w:spacing w:after="120"/>
        <w:jc w:val="left"/>
      </w:pPr>
      <w:r>
        <w:rPr>
          <w:rFonts w:ascii="Calibri" w:cs="Calibri" w:eastAsia="Calibri" w:hAnsi="Calibri"/>
          <w:b w:val="false"/>
          <w:bCs w:val="false"/>
          <w:i w:val="false"/>
          <w:iCs w:val="false"/>
          <w:color w:val="1F2937"/>
          <w:sz w:val="21"/>
          <w:szCs w:val="21"/>
        </w:rPr>
        <w:t xml:space="preserve">8.1.1. All claims for loss or damage must be filed within 60 calendar days of the shipment date via the FedEx Claims portal or by contacting the dedicated MCG account team.</w:t>
      </w:r>
    </w:p>
    <w:p>
      <w:pPr>
        <w:spacing w:after="120"/>
        <w:jc w:val="left"/>
      </w:pPr>
      <w:r>
        <w:rPr>
          <w:rFonts w:ascii="Calibri" w:cs="Calibri" w:eastAsia="Calibri" w:hAnsi="Calibri"/>
          <w:b w:val="false"/>
          <w:bCs w:val="false"/>
          <w:i w:val="false"/>
          <w:iCs w:val="false"/>
          <w:color w:val="1F2937"/>
          <w:sz w:val="21"/>
          <w:szCs w:val="21"/>
        </w:rPr>
        <w:t xml:space="preserve">8.1.2. Required documentation: original invoice/receipt showing value of goods, photographs of damaged items and packaging, FedEx tracking number, MCG order reference number.</w:t>
      </w:r>
    </w:p>
    <w:p>
      <w:pPr>
        <w:spacing w:after="120"/>
        <w:jc w:val="left"/>
      </w:pPr>
      <w:r>
        <w:rPr>
          <w:rFonts w:ascii="Calibri" w:cs="Calibri" w:eastAsia="Calibri" w:hAnsi="Calibri"/>
          <w:b w:val="false"/>
          <w:bCs w:val="false"/>
          <w:i w:val="false"/>
          <w:iCs w:val="false"/>
          <w:color w:val="1F2937"/>
          <w:sz w:val="21"/>
          <w:szCs w:val="21"/>
        </w:rPr>
        <w:t xml:space="preserve">8.1.3. FedEx shall acknowledge receipt of a claim within 5 business days and provide a resolution within 30 business days.</w:t>
      </w:r>
    </w:p>
    <w:p>
      <w:pPr>
        <w:spacing w:after="120" w:before="280"/>
      </w:pPr>
      <w:r>
        <w:rPr>
          <w:rFonts w:ascii="Calibri" w:cs="Calibri" w:eastAsia="Calibri" w:hAnsi="Calibri"/>
          <w:b/>
          <w:bCs/>
          <w:color w:val="0D7C8F"/>
          <w:sz w:val="26"/>
          <w:szCs w:val="26"/>
        </w:rPr>
        <w:t xml:space="preserve">8.2 Liability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Service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Maximum Liability (per package)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Declared Value Coverage Available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Ground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Up to $50,000 (additional charge)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FedEx Home Delivery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Up to $50,000 (additional charge)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Express Saver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Up to $50,000 (additional charge)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FedEx 2Day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Up to $50,000 (additional charge)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Overnight services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Up to $50,000 (additional charge)</w:t>
            </w:r>
          </w:p>
        </w:tc>
      </w:tr>
    </w:tbl>
    <w:p>
      <w:pPr>
        <w:spacing w:after="120"/>
        <w:jc w:val="left"/>
      </w:pPr>
      <w:r>
        <w:rPr>
          <w:rFonts w:ascii="Calibri" w:cs="Calibri" w:eastAsia="Calibri" w:hAnsi="Calibri"/>
          <w:b w:val="false"/>
          <w:bCs w:val="false"/>
          <w:i w:val="false"/>
          <w:iCs w:val="false"/>
          <w:color w:val="1F2937"/>
          <w:sz w:val="21"/>
          <w:szCs w:val="21"/>
        </w:rPr>
        <w:t xml:space="preserve">Declared Value surcharge: $0.00 for first $100; $1.40 per additional $100 of declared value (minimum charge $3.50).</w:t>
      </w:r>
    </w:p>
    <w:p>
      <w:pPr>
        <w:spacing w:after="120" w:before="280"/>
      </w:pPr>
      <w:r>
        <w:rPr>
          <w:rFonts w:ascii="Calibri" w:cs="Calibri" w:eastAsia="Calibri" w:hAnsi="Calibri"/>
          <w:b/>
          <w:bCs/>
          <w:color w:val="0D7C8F"/>
          <w:sz w:val="26"/>
          <w:szCs w:val="26"/>
        </w:rPr>
        <w:t xml:space="preserve">8.3 Exclusions from Liability</w:t>
      </w:r>
    </w:p>
    <w:p>
      <w:pPr>
        <w:spacing w:after="120"/>
        <w:jc w:val="left"/>
      </w:pPr>
      <w:r>
        <w:rPr>
          <w:rFonts w:ascii="Calibri" w:cs="Calibri" w:eastAsia="Calibri" w:hAnsi="Calibri"/>
          <w:b w:val="false"/>
          <w:bCs w:val="false"/>
          <w:i w:val="false"/>
          <w:iCs w:val="false"/>
          <w:color w:val="1F2937"/>
          <w:sz w:val="21"/>
          <w:szCs w:val="21"/>
        </w:rPr>
        <w:t xml:space="preserve">FedEx shall not be liable for: (a) consequential, incidental, special, or punitive damages; (b) loss of income or profits; (c) damage caused by improper packaging by the shipper; (d) perishable goods; (e) items of extraordinary value (artwork, antiques, jewelry &gt;$1,000) unless properly declared; (f) delays caused by customs clearance; (g) acts of God, governmental actions, or other force majeure events.</w:t>
      </w:r>
    </w:p>
    <w:p>
      <w:pPr>
        <w:pBdr>
          <w:bottom w:val="single" w:color="0D7C8F" w:sz="2" w:space="4"/>
        </w:pBdr>
        <w:spacing w:after="160" w:before="360"/>
      </w:pPr>
      <w:r>
        <w:rPr>
          <w:rFonts w:ascii="Calibri" w:cs="Calibri" w:eastAsia="Calibri" w:hAnsi="Calibri"/>
          <w:b/>
          <w:bCs/>
          <w:color w:val="1B2A4A"/>
          <w:sz w:val="30"/>
          <w:szCs w:val="30"/>
        </w:rPr>
        <w:t xml:space="preserve">9. Billing and Payment Terms</w:t>
      </w:r>
    </w:p>
    <w:p>
      <w:pPr>
        <w:spacing w:after="120"/>
        <w:jc w:val="left"/>
      </w:pPr>
      <w:r>
        <w:rPr>
          <w:rFonts w:ascii="Calibri" w:cs="Calibri" w:eastAsia="Calibri" w:hAnsi="Calibri"/>
          <w:b w:val="false"/>
          <w:bCs w:val="false"/>
          <w:i w:val="false"/>
          <w:iCs w:val="false"/>
          <w:color w:val="1F2937"/>
          <w:sz w:val="21"/>
          <w:szCs w:val="21"/>
        </w:rPr>
        <w:t xml:space="preserve">9.1. Billing Frequency: Weekly invoice (issued every Monday for the prior week's shipments).</w:t>
      </w:r>
    </w:p>
    <w:p>
      <w:pPr>
        <w:spacing w:after="120"/>
        <w:jc w:val="left"/>
      </w:pPr>
      <w:r>
        <w:rPr>
          <w:rFonts w:ascii="Calibri" w:cs="Calibri" w:eastAsia="Calibri" w:hAnsi="Calibri"/>
          <w:b w:val="false"/>
          <w:bCs w:val="false"/>
          <w:i w:val="false"/>
          <w:iCs w:val="false"/>
          <w:color w:val="1F2937"/>
          <w:sz w:val="21"/>
          <w:szCs w:val="21"/>
        </w:rPr>
        <w:t xml:space="preserve">9.2. Payment Terms: Net 30 days from invoice date.</w:t>
      </w:r>
    </w:p>
    <w:p>
      <w:pPr>
        <w:spacing w:after="120"/>
        <w:jc w:val="left"/>
      </w:pPr>
      <w:r>
        <w:rPr>
          <w:rFonts w:ascii="Calibri" w:cs="Calibri" w:eastAsia="Calibri" w:hAnsi="Calibri"/>
          <w:b w:val="false"/>
          <w:bCs w:val="false"/>
          <w:i w:val="false"/>
          <w:iCs w:val="false"/>
          <w:color w:val="1F2937"/>
          <w:sz w:val="21"/>
          <w:szCs w:val="21"/>
        </w:rPr>
        <w:t xml:space="preserve">9.3. Payment Method: ACH electronic transfer to FedEx designated bank account.</w:t>
      </w:r>
    </w:p>
    <w:p>
      <w:pPr>
        <w:spacing w:after="120"/>
        <w:jc w:val="left"/>
      </w:pPr>
      <w:r>
        <w:rPr>
          <w:rFonts w:ascii="Calibri" w:cs="Calibri" w:eastAsia="Calibri" w:hAnsi="Calibri"/>
          <w:b w:val="false"/>
          <w:bCs w:val="false"/>
          <w:i w:val="false"/>
          <w:iCs w:val="false"/>
          <w:color w:val="1F2937"/>
          <w:sz w:val="21"/>
          <w:szCs w:val="21"/>
        </w:rPr>
        <w:t xml:space="preserve">9.4. Late Payment: Past-due invoices accrue interest at 1.5% per month (18% APR).</w:t>
      </w:r>
    </w:p>
    <w:p>
      <w:pPr>
        <w:spacing w:after="120"/>
        <w:jc w:val="left"/>
      </w:pPr>
      <w:r>
        <w:rPr>
          <w:rFonts w:ascii="Calibri" w:cs="Calibri" w:eastAsia="Calibri" w:hAnsi="Calibri"/>
          <w:b w:val="false"/>
          <w:bCs w:val="false"/>
          <w:i w:val="false"/>
          <w:iCs w:val="false"/>
          <w:color w:val="1F2937"/>
          <w:sz w:val="21"/>
          <w:szCs w:val="21"/>
        </w:rPr>
        <w:t xml:space="preserve">9.5. Dispute Resolution: Invoice disputes must be raised within 30 days of invoice date. Disputed amounts may be withheld pending resolution, but undisputed portions must be paid on time.</w:t>
      </w:r>
    </w:p>
    <w:p>
      <w:pPr>
        <w:spacing w:after="120"/>
        <w:jc w:val="left"/>
      </w:pPr>
      <w:r>
        <w:rPr>
          <w:rFonts w:ascii="Calibri" w:cs="Calibri" w:eastAsia="Calibri" w:hAnsi="Calibri"/>
          <w:b w:val="false"/>
          <w:bCs w:val="false"/>
          <w:i w:val="false"/>
          <w:iCs w:val="false"/>
          <w:color w:val="1F2937"/>
          <w:sz w:val="21"/>
          <w:szCs w:val="21"/>
        </w:rPr>
        <w:t xml:space="preserve">9.6. Audit Rights: MCG may audit FedEx invoices for accuracy. FedEx shall provide detailed shipment-level data upon request. Identified overcharges shall be credited within 60 days.</w:t>
      </w:r>
    </w:p>
    <w:p>
      <w:pPr>
        <w:pBdr>
          <w:bottom w:val="single" w:color="0D7C8F" w:sz="2" w:space="4"/>
        </w:pBdr>
        <w:spacing w:after="160" w:before="360"/>
      </w:pPr>
      <w:r>
        <w:rPr>
          <w:rFonts w:ascii="Calibri" w:cs="Calibri" w:eastAsia="Calibri" w:hAnsi="Calibri"/>
          <w:b/>
          <w:bCs/>
          <w:color w:val="1B2A4A"/>
          <w:sz w:val="30"/>
          <w:szCs w:val="30"/>
        </w:rPr>
        <w:t xml:space="preserve">10. General Legal Terms</w:t>
      </w:r>
    </w:p>
    <w:p>
      <w:pPr>
        <w:spacing w:after="120" w:before="280"/>
      </w:pPr>
      <w:r>
        <w:rPr>
          <w:rFonts w:ascii="Calibri" w:cs="Calibri" w:eastAsia="Calibri" w:hAnsi="Calibri"/>
          <w:b/>
          <w:bCs/>
          <w:color w:val="0D7C8F"/>
          <w:sz w:val="26"/>
          <w:szCs w:val="26"/>
        </w:rPr>
        <w:t xml:space="preserve">10.1 Indemnification</w:t>
      </w:r>
    </w:p>
    <w:p>
      <w:pPr>
        <w:spacing w:after="120"/>
        <w:jc w:val="left"/>
      </w:pPr>
      <w:r>
        <w:rPr>
          <w:rFonts w:ascii="Calibri" w:cs="Calibri" w:eastAsia="Calibri" w:hAnsi="Calibri"/>
          <w:b w:val="false"/>
          <w:bCs w:val="false"/>
          <w:i w:val="false"/>
          <w:iCs w:val="false"/>
          <w:color w:val="1F2937"/>
          <w:sz w:val="21"/>
          <w:szCs w:val="21"/>
        </w:rPr>
        <w:t xml:space="preserve">FedEx shall indemnify MCG against all claims, damages, and expenses arising from FedEx's negligence, willful misconduct, or breach of this Agreement. MCG shall indemnify FedEx against claims arising from MCG's provision of inaccurate shipping information, undeclared hazardous materials, or prohibited items.</w:t>
      </w:r>
    </w:p>
    <w:p>
      <w:pPr>
        <w:spacing w:after="120" w:before="280"/>
      </w:pPr>
      <w:r>
        <w:rPr>
          <w:rFonts w:ascii="Calibri" w:cs="Calibri" w:eastAsia="Calibri" w:hAnsi="Calibri"/>
          <w:b/>
          <w:bCs/>
          <w:color w:val="0D7C8F"/>
          <w:sz w:val="26"/>
          <w:szCs w:val="26"/>
        </w:rPr>
        <w:t xml:space="preserve">10.2 Force Majeure</w:t>
      </w:r>
    </w:p>
    <w:p>
      <w:pPr>
        <w:spacing w:after="120"/>
        <w:jc w:val="left"/>
      </w:pPr>
      <w:r>
        <w:rPr>
          <w:rFonts w:ascii="Calibri" w:cs="Calibri" w:eastAsia="Calibri" w:hAnsi="Calibri"/>
          <w:b w:val="false"/>
          <w:bCs w:val="false"/>
          <w:i w:val="false"/>
          <w:iCs w:val="false"/>
          <w:color w:val="1F2937"/>
          <w:sz w:val="21"/>
          <w:szCs w:val="21"/>
        </w:rPr>
        <w:t xml:space="preserve">Neither party shall be liable for delays or failures caused by events beyond reasonable control, including natural disasters, pandemics, government actions, war, terrorism, strikes, or infrastructure failures. The affected party must provide prompt notice and use commercially reasonable efforts to mitigate the impact.</w:t>
      </w:r>
    </w:p>
    <w:p>
      <w:pPr>
        <w:spacing w:after="120" w:before="280"/>
      </w:pPr>
      <w:r>
        <w:rPr>
          <w:rFonts w:ascii="Calibri" w:cs="Calibri" w:eastAsia="Calibri" w:hAnsi="Calibri"/>
          <w:b/>
          <w:bCs/>
          <w:color w:val="0D7C8F"/>
          <w:sz w:val="26"/>
          <w:szCs w:val="26"/>
        </w:rPr>
        <w:t xml:space="preserve">10.3 Termination</w:t>
      </w:r>
    </w:p>
    <w:p>
      <w:pPr>
        <w:spacing w:after="120"/>
        <w:jc w:val="left"/>
      </w:pPr>
      <w:r>
        <w:rPr>
          <w:rFonts w:ascii="Calibri" w:cs="Calibri" w:eastAsia="Calibri" w:hAnsi="Calibri"/>
          <w:b w:val="false"/>
          <w:bCs w:val="false"/>
          <w:i w:val="false"/>
          <w:iCs w:val="false"/>
          <w:color w:val="1F2937"/>
          <w:sz w:val="21"/>
          <w:szCs w:val="21"/>
        </w:rPr>
        <w:t xml:space="preserve">10.3.1. This Rate Card is effective for the calendar year 2025. Either party may terminate the underlying MSA with 180 days written notice.</w:t>
      </w:r>
    </w:p>
    <w:p>
      <w:pPr>
        <w:spacing w:after="120"/>
        <w:jc w:val="left"/>
      </w:pPr>
      <w:r>
        <w:rPr>
          <w:rFonts w:ascii="Calibri" w:cs="Calibri" w:eastAsia="Calibri" w:hAnsi="Calibri"/>
          <w:b w:val="false"/>
          <w:bCs w:val="false"/>
          <w:i w:val="false"/>
          <w:iCs w:val="false"/>
          <w:color w:val="1F2937"/>
          <w:sz w:val="21"/>
          <w:szCs w:val="21"/>
        </w:rPr>
        <w:t xml:space="preserve">10.3.2. MCG may terminate immediately if FedEx fails to maintain service levels below the targets in Section 7 for three consecutive months.</w:t>
      </w:r>
    </w:p>
    <w:p>
      <w:pPr>
        <w:spacing w:after="120"/>
        <w:jc w:val="left"/>
      </w:pPr>
      <w:r>
        <w:rPr>
          <w:rFonts w:ascii="Calibri" w:cs="Calibri" w:eastAsia="Calibri" w:hAnsi="Calibri"/>
          <w:b w:val="false"/>
          <w:bCs w:val="false"/>
          <w:i w:val="false"/>
          <w:iCs w:val="false"/>
          <w:color w:val="1F2937"/>
          <w:sz w:val="21"/>
          <w:szCs w:val="21"/>
        </w:rPr>
        <w:t xml:space="preserve">10.3.3. FedEx may terminate if MCG fails to meet the minimum revenue commitment for the applicable volume discount tier for two consecutive quarters.</w:t>
      </w:r>
    </w:p>
    <w:p>
      <w:pPr>
        <w:spacing w:after="120" w:before="280"/>
      </w:pPr>
      <w:r>
        <w:rPr>
          <w:rFonts w:ascii="Calibri" w:cs="Calibri" w:eastAsia="Calibri" w:hAnsi="Calibri"/>
          <w:b/>
          <w:bCs/>
          <w:color w:val="0D7C8F"/>
          <w:sz w:val="26"/>
          <w:szCs w:val="26"/>
        </w:rPr>
        <w:t xml:space="preserve">10.4 Governing Law</w:t>
      </w:r>
    </w:p>
    <w:p>
      <w:pPr>
        <w:spacing w:after="120"/>
        <w:jc w:val="left"/>
      </w:pPr>
      <w:r>
        <w:rPr>
          <w:rFonts w:ascii="Calibri" w:cs="Calibri" w:eastAsia="Calibri" w:hAnsi="Calibri"/>
          <w:b w:val="false"/>
          <w:bCs w:val="false"/>
          <w:i w:val="false"/>
          <w:iCs w:val="false"/>
          <w:color w:val="1F2937"/>
          <w:sz w:val="21"/>
          <w:szCs w:val="21"/>
        </w:rPr>
        <w:t xml:space="preserve">This Agreement shall be governed by the laws of the State of Delaware, without regard to conflict of law principles. Any disputes shall be resolved in the federal or state courts located in Wilmington, Delaware.</w:t>
      </w:r>
    </w:p>
    <w:p>
      <w:pPr>
        <w:spacing w:after="120" w:before="280"/>
      </w:pPr>
      <w:r>
        <w:rPr>
          <w:rFonts w:ascii="Calibri" w:cs="Calibri" w:eastAsia="Calibri" w:hAnsi="Calibri"/>
          <w:b/>
          <w:bCs/>
          <w:color w:val="0D7C8F"/>
          <w:sz w:val="26"/>
          <w:szCs w:val="26"/>
        </w:rPr>
        <w:t xml:space="preserve">10.5 Confidentiality</w:t>
      </w:r>
    </w:p>
    <w:p>
      <w:pPr>
        <w:spacing w:after="120"/>
        <w:jc w:val="left"/>
      </w:pPr>
      <w:r>
        <w:rPr>
          <w:rFonts w:ascii="Calibri" w:cs="Calibri" w:eastAsia="Calibri" w:hAnsi="Calibri"/>
          <w:b w:val="false"/>
          <w:bCs w:val="false"/>
          <w:i w:val="false"/>
          <w:iCs w:val="false"/>
          <w:color w:val="1F2937"/>
          <w:sz w:val="21"/>
          <w:szCs w:val="21"/>
        </w:rPr>
        <w:t xml:space="preserve">All pricing, volume, and commercial terms contained in this Rate Card are confidential and proprietary. Neither party shall disclose these terms to third parties without prior written consent, except as required by law or regulation.</w:t>
      </w:r>
    </w:p>
    <w:p>
      <w:pPr>
        <w:pBdr>
          <w:bottom w:val="single" w:color="0D7C8F" w:sz="2" w:space="4"/>
        </w:pBdr>
        <w:spacing w:after="160" w:before="360"/>
      </w:pPr>
      <w:r>
        <w:rPr>
          <w:rFonts w:ascii="Calibri" w:cs="Calibri" w:eastAsia="Calibri" w:hAnsi="Calibri"/>
          <w:b/>
          <w:bCs/>
          <w:color w:val="1B2A4A"/>
          <w:sz w:val="30"/>
          <w:szCs w:val="30"/>
        </w:rPr>
        <w:t xml:space="preserve">11. Appendix A — MCG Shipping 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Facility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Address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FedEx Pickup Time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Daily Avg Volume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Primary Zones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MCG Americas HQ / DC East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1200 Commerce Blvd, Edison, NJ 08817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5:00 PM ET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2,400 pkgs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Zone 1-4</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MCG DC Southeast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4500 Logistics Dr, Atlanta, GA 30349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4:30 PM ET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1,800 pkgs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Zone 2-5</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MCG DC Central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8900 Distribution Way, Dallas, TX 75247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4:00 PM CT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1,200 pkgs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Zone 3-6</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MCG DC West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2100 Fulfillment Ave, Ontario, CA 91761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5:00 PM PT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2,000 pkgs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Zone 1-4 (West)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MCG Returns Center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600 Returns Rd, Columbus, OH 43228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3:00 PM ET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800 pkgs (returns)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N/A</w:t>
            </w:r>
          </w:p>
        </w:tc>
      </w:tr>
    </w:tbl>
    <w:p>
      <w:pPr>
        <w:pBdr>
          <w:bottom w:val="single" w:color="0D7C8F" w:sz="2" w:space="4"/>
        </w:pBdr>
        <w:spacing w:after="160" w:before="360"/>
      </w:pPr>
      <w:r>
        <w:rPr>
          <w:rFonts w:ascii="Calibri" w:cs="Calibri" w:eastAsia="Calibri" w:hAnsi="Calibri"/>
          <w:b/>
          <w:bCs/>
          <w:color w:val="1B2A4A"/>
          <w:sz w:val="30"/>
          <w:szCs w:val="30"/>
        </w:rPr>
        <w:t xml:space="preserve">12. Acceptance and Execution</w:t>
      </w:r>
    </w:p>
    <w:p>
      <w:pPr>
        <w:spacing w:after="120"/>
        <w:jc w:val="left"/>
      </w:pPr>
      <w:r>
        <w:rPr>
          <w:rFonts w:ascii="Calibri" w:cs="Calibri" w:eastAsia="Calibri" w:hAnsi="Calibri"/>
          <w:b w:val="false"/>
          <w:bCs w:val="false"/>
          <w:i w:val="false"/>
          <w:iCs w:val="false"/>
          <w:color w:val="1F2937"/>
          <w:sz w:val="21"/>
          <w:szCs w:val="21"/>
        </w:rPr>
        <w:t xml:space="preserve">By signing below, the authorized representatives of MCG and FedEx agree to the rates, terms, and conditions set forth in this 2025 Rate Card, which shall supplement and be governed by the Master Service Agreement MSA-2021-FDX-US-003.</w:t>
      </w:r>
    </w:p>
    <w:p>
      <w:pPr>
        <w:spacing w:after="120"/>
        <w:jc w:val="left"/>
      </w:pPr>
      <w:r>
        <w:rPr>
          <w:rFonts w:ascii="Calibri" w:cs="Calibri" w:eastAsia="Calibri" w:hAnsi="Calibri"/>
          <w:b w:val="false"/>
          <w:bCs w:val="false"/>
          <w:i w:val="false"/>
          <w:iCs w:val="false"/>
          <w:color w:val="1F2937"/>
          <w:sz w:val="21"/>
          <w:szCs w:val="21"/>
        </w:rPr>
        <w:t xml:space="preserve">Date of Execution: 18 December 2024</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Carlos Rivera</w:t>
      </w:r>
    </w:p>
    <w:p>
      <w:pPr>
        <w:spacing w:after="0"/>
      </w:pPr>
      <w:r>
        <w:rPr>
          <w:rFonts w:ascii="Calibri" w:cs="Calibri" w:eastAsia="Calibri" w:hAnsi="Calibri"/>
          <w:color w:val="6B7280"/>
          <w:sz w:val="19"/>
          <w:szCs w:val="19"/>
        </w:rPr>
        <w:t xml:space="preserve">Director of Logistics, Americas</w:t>
      </w:r>
    </w:p>
    <w:p>
      <w:pPr>
        <w:spacing w:after="0"/>
      </w:pPr>
      <w:r>
        <w:rPr>
          <w:rFonts w:ascii="Calibri" w:cs="Calibri" w:eastAsia="Calibri" w:hAnsi="Calibri"/>
          <w:i/>
          <w:iCs/>
          <w:color w:val="6B7280"/>
          <w:sz w:val="19"/>
          <w:szCs w:val="19"/>
        </w:rPr>
        <w:t xml:space="preserve">Meridian Commerce Group Inc.</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Diane Kowalski</w:t>
      </w:r>
    </w:p>
    <w:p>
      <w:pPr>
        <w:spacing w:after="0"/>
      </w:pPr>
      <w:r>
        <w:rPr>
          <w:rFonts w:ascii="Calibri" w:cs="Calibri" w:eastAsia="Calibri" w:hAnsi="Calibri"/>
          <w:color w:val="6B7280"/>
          <w:sz w:val="19"/>
          <w:szCs w:val="19"/>
        </w:rPr>
        <w:t xml:space="preserve">Senior Account Executive</w:t>
      </w:r>
    </w:p>
    <w:p>
      <w:pPr>
        <w:spacing w:after="0"/>
      </w:pPr>
      <w:r>
        <w:rPr>
          <w:rFonts w:ascii="Calibri" w:cs="Calibri" w:eastAsia="Calibri" w:hAnsi="Calibri"/>
          <w:i/>
          <w:iCs/>
          <w:color w:val="6B7280"/>
          <w:sz w:val="19"/>
          <w:szCs w:val="19"/>
        </w:rPr>
        <w:t xml:space="preserve">Federal Express Corporation</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Thomas Brennan</w:t>
      </w:r>
    </w:p>
    <w:p>
      <w:pPr>
        <w:spacing w:after="0"/>
      </w:pPr>
      <w:r>
        <w:rPr>
          <w:rFonts w:ascii="Calibri" w:cs="Calibri" w:eastAsia="Calibri" w:hAnsi="Calibri"/>
          <w:color w:val="6B7280"/>
          <w:sz w:val="19"/>
          <w:szCs w:val="19"/>
        </w:rPr>
        <w:t xml:space="preserve">VP Supply Chain (Countersignature)</w:t>
      </w:r>
    </w:p>
    <w:p>
      <w:pPr>
        <w:spacing w:after="0"/>
      </w:pPr>
      <w:r>
        <w:rPr>
          <w:rFonts w:ascii="Calibri" w:cs="Calibri" w:eastAsia="Calibri" w:hAnsi="Calibri"/>
          <w:i/>
          <w:iCs/>
          <w:color w:val="6B7280"/>
          <w:sz w:val="19"/>
          <w:szCs w:val="19"/>
        </w:rPr>
        <w:t xml:space="preserve">Meridian Commerce Group</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CARRIER RATE 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2026-09-21T20:12:48.611Z</dcterms:created>
  <dcterms:modified xsi:type="dcterms:W3CDTF">2026-09-21T20:12:48.611Z</dcterms:modified>
</cp:coreProperties>
</file>

<file path=docProps/custom.xml><?xml version="1.0" encoding="utf-8"?>
<Properties xmlns="http://schemas.openxmlformats.org/officeDocument/2006/custom-properties" xmlns:vt="http://schemas.openxmlformats.org/officeDocument/2006/docPropsVTypes"/>
</file>