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2: Qlik Cloud Connections &amp; Spaces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10-15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Phase 2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#4 (Silent Pipeline Failures), #6 (Carrier Data Black Hole)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Qlik Cloud Administration, Data Integration connectors</w:t>
            </w:r>
          </w:p>
        </w:tc>
      </w:tr>
    </w:tbl>
    <w:p>
      <w:pPr>
        <w:spacing w:after="120" w:before="80"/>
      </w:pPr>
      <w:r>
        <w:rPr>
          <w:rFonts w:ascii="Inter" w:cs="Inter" w:eastAsia="Inter" w:hAnsi="Inter"/>
          <w:b/>
          <w:bCs/>
          <w:color w:val="006580"/>
          <w:sz w:val="20"/>
          <w:szCs w:val="20"/>
        </w:rPr>
        <w:t xml:space="preserve">Project Qlarity context: 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Project Qlarity Phase 1 (Foundation): the CDC + Kafka integration backbone. Governed dev/prod spaces and gateway-bound connections are the prerequisite for the pipeline-health monitoring that closes Nightmare #4 (Silent Pipeline Failures) and the carrier feed behind Nightmare #6.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4565A"/>
          <w:sz w:val="21"/>
          <w:szCs w:val="21"/>
        </w:rPr>
        <w:t xml:space="preserve">This module establishes the Qlik Cloud workspace and connects to all three MCG data sources. The space architecture separates development, production analytics, and data governance — a best practice for enterprise Qlik deployments.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Prerequisites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Qlik Cloud tenant provisioned with admin user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API key generated (Profile &gt; API Keys)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All three data sources running (Module 1 complete)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Data Movement Gateway installed (for PostgreSQL CDC)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Data Gateway - Streaming installed (for Kafka streaming)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Gateway &amp; Source Connections: How They Connect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4565A"/>
          <w:sz w:val="21"/>
          <w:szCs w:val="21"/>
        </w:rPr>
        <w:t xml:space="preserve">MCG's databases run locally in the mcg-qlik-dmg container. Qlik Cloud reaches them through a registered Data Movement gateway — a one-time registration, then one connection per source created inside a Data Integration project.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4565A"/>
          <w:sz w:val="21"/>
          <w:szCs w:val="21"/>
        </w:rPr>
        <w:t xml:space="preserve">Register the gateway: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MCG Deploy UI → Local Stack &amp; Gateway → Register Gateway / Get Token (or run agentctl in the mcg-qlik-dmg container) to print the registration token.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Qlik Cloud → Administration → Data Gateways → Register; paste the token and wait for status Connected.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4565A"/>
          <w:sz w:val="21"/>
          <w:szCs w:val="21"/>
        </w:rPr>
        <w:t xml:space="preserve">Create the source connections (in a Data Integration project):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Data Integration → your project → Create connection → PostgreSQL / MySQL / SQL Server.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Select the mcg-qlik-dmg gateway, enter host/port/database/credentials, then test and save.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A Data Movement gateway connection is created in the Data Integration UI by selecting the gateway — the public REST API cannot create it, so the deploy script skips these sources and prints this same guidance instead of a non-functional connection. Kafka as a source needs a Data Gateway - Streaming; S3/Athena are credentialed UI connectors. Full guide: https://help.qlik.com/en-US/cloud-services/Subsystems/Hub/Content/Sense_Hub/Gateways/dm-gateway-setting-up.htm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(Case Study)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20"/>
                <w:szCs w:val="20"/>
              </w:rPr>
              <w:t xml:space="preserve">MCG had a data engineer who spent 3 days debugging a broken pipeline — only to discover it was feeding the wrong Kafka topic to the wrong team's dashboard. No governance, no separation, no audit trail. That single incident delayed a product launch by two weeks.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"How do you currently separate development data from production analytics?"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What I'm about to show you is how Qlik Cloud organizes the entire data landscape — separate spaces for development and production, with connections that handle CDC, streaming, and API sources all from one console.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1: Create Spaces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Navigate to Qlik Cloud Hub &gt; Spaces &gt; Create Space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Create shared space: "MCG Demo - Development"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Create managed space: "MCG Demo - Published"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Create data space: "MCG Data - Lakehouse" (optional, for data separation)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Talking point: The shared space is where analysts build and iterate. The managed space is where governed, published content lives. This separation ensures data consumers always see approved, quality-checked analytics.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2: PostgreSQL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In Data Integration, open your data project and click Create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Select the PostgreSQL connector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Select the Data Movement gateway (mcg-qlik-dmg) so Qlik Cloud can reach the local database, then configure: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MCG WMS Database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Data gateway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mcg-qlik-dmg (Data Movement)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Host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WMS Postgres as seen from the gateway (Docker service name / host IP)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Port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5432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Database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mcg_wms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Username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mcg_admin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Schema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public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Test connection — should succeed and show 3 tables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Verify tables visible: inventory_positions, warehouse_events, shipments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This connection must be created here in the Data Integration UI with the gateway selected — the public API cannot create a Data Movement gateway connection.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3: Kafka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Select Apache Kafka connector via Data Gateway - Streaming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Configure bootstrap servers: localhost:9092 (Docker) or your-broker:9092 (external)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Test connection — should show 2 topics: mcg.iot.cold-chain, mcg.iot.carrier-events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Talking point: Kafka streaming data flows continuously — no batch windows, no stale data. Temperature readings arrive every 5 seconds. This is how you catch a cold chain exceedance before product spoils.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4: Meridian CRM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Select MySQL CDC connector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Authenticate via OAuth or username/password + security token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Test connection — should show Contact, crm_orders, crm_products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5: Amazon Athena Connection (Analytics Reads)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Select Amazon Athena connector — this is how the analytics apps read the Open Lakehouse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Name it "MCG Lakehouse (Athena)" — the app load scripts LIB CONNECT TO this exact name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Configure region, workgroup, and S3 output location; authenticate with IAM keys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Test connection — the Glue catalog should expose the bronze, silver, and gold databases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Talking point: data flows one way into the Open Lakehouse (CDC, streaming, API), and analytics reads flow back out through Athena — open formats, open engines. The lakehouse is Iceberg on S3, so anything that speaks Athena can query the same governed tables the Qlik apps use.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What you just saw is the foundation: governed spaces with clear dev/prod separation, three very different data sources — database CDC, real-time streaming, and API — connected from one console, plus the Athena read path that lets analytics query the Open Lakehouse in place. No custom ETL code, no middleware, no integration tax.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"Which of these connector types would be most relevant for your environment?"</w:t>
      </w:r>
    </w:p>
    <w:p>
      <w:pPr>
        <w:spacing w:after="100" w:before="60"/>
      </w:pPr>
      <w:r>
        <w:rPr>
          <w:rFonts w:ascii="Inter" w:cs="Inter" w:eastAsia="Inter" w:hAnsi="Inter"/>
          <w:color w:val="54565A"/>
          <w:sz w:val="20"/>
          <w:szCs w:val="20"/>
        </w:rPr>
        <w:t xml:space="preserve">Connect all three data source types from one platform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eliminate the middleware and custom integration layer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give your data team back the 40% of time they currently spend on plumbing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Two CDC sources on different engines (PostgreSQL WAL, MySQL binlog) plus a streaming source (Kafka) - one gateway, three capture mechanisms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Each connector type handles change tracking differently — CDC captures row-level changes, streaming is continuous, API is polling-based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Data Movement Gateway runs on-premises for secure PostgreSQL access without opening firewall ports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Space architecture follows Qlik best practices: dev/prod separation with governed publishing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Cause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Connection test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Firewall blocking port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Ensure outbound access to data source from Gateway/Engine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Gateway not paired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Pairing token expired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Generate new token in Administration &gt; Gateways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CRM connection fails from the gateway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Host resolves on your laptop but not inside the gateway container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Use the compose service name (mysql) or the host IP, and port 3306 inside the network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Topics not visible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Wrong bootstrap server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Verify broker address and port; check Data Gateway - Streaming logs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54565A"/>
        <w:sz w:val="14"/>
        <w:szCs w:val="14"/>
      </w:rPr>
      <w:t xml:space="preserve">Qlik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54565A"/>
        <w:sz w:val="13"/>
        <w:szCs w:val="13"/>
      </w:rPr>
      <w:t xml:space="preserve">Page </w:t>
    </w:r>
    <w:r>
      <w:rPr>
        <w:rFonts w:ascii="Inter" w:cs="Inter" w:eastAsia="Inter" w:hAnsi="Inter"/>
        <w:color w:val="54565A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/>
    </w:pPr>
    <w:r>
      <w:drawing>
        <wp:inline distT="0" distB="0" distL="0" distR="0">
          <wp:extent cx="1123950" cy="6286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3950" cy="6286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Project Qlarity Demo Walkthrough — Module 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54565A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a7640a0f90dc3934f67c3c21f9f3a340ffef73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2026-09-21T20:12:53.573Z</dcterms:created>
  <dcterms:modified xsi:type="dcterms:W3CDTF">2026-09-21T20:12:53.573Z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