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Open Lakehouse, Data Integration pipelines, Transformation Flows, Table Recipes</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 Phase 2: the Open Lakehouse Bronze/Silver foundation (Phase 1) plus the remaining transforms and governed Gold data products (Phase 2 Analytics &amp; Quality). The 8 Silver routes are where all Seven Data Quality Nightmares are systematically remediated.</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54565A"/>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Meridian CRM</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MySQL CDC</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bronze.crm_contacts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Meridian CRM</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MySQL CDC</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bronze.crm_orders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Meridian CRM</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MySQL CDC</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bronze.crm_products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54565A"/>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(2 Tables)</w:t>
      </w:r>
    </w:p>
    <w:p>
      <w:pPr>
        <w:spacing w:after="120"/>
        <w:jc w:val="left"/>
      </w:pPr>
      <w:r>
        <w:rPr>
          <w:rFonts w:ascii="Inter" w:cs="Inter" w:eastAsia="Inter" w:hAnsi="Inter"/>
          <w:b w:val="false"/>
          <w:bCs w:val="false"/>
          <w:i w:val="false"/>
          <w:iCs w:val="false"/>
          <w:color w:val="54565A"/>
          <w:sz w:val="21"/>
          <w:szCs w:val="21"/>
        </w:rPr>
        <w:t xml:space="preserve">The pipeline's gold datamart task creates two governed, business-ready data products with Trust Scores, SLAs, and API sharing — one per analytics domain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On-time target: 92%</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Show before/after: bronze.crm_contacts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54565A"/>
          <w:sz w:val="21"/>
          <w:szCs w:val="21"/>
        </w:rPr>
        <w:t xml:space="preserve">Highlight refresh schedules: real-time CDC, continuous streaming, 15-min CRM sync, event-triggered silver, plus the daily gold full refresh (06:00 UTC)</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54565A"/>
          <w:sz w:val="21"/>
          <w:szCs w:val="21"/>
        </w:rPr>
        <w:t xml:space="preserve">The pipeline you just saw was not built by hand — it is defined as version-controlled YAML in deploy/pipelines/ as two Open Lakehouse projects (mcg-batch-pipeline and mcg-streaming-pipeline) and deployed from the repo. This is the declarative pipelines capability (QTCP preview), and it is the primary deployment method for the entire medallion architecture: landing tasks, transformations, schedules, and bindings.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Show the YAML projects in VS Code: qtcp_project.yaml, one folder per task (folder name = task name), datasets with custom SQL, and one schedule per task — event-triggered silver, daily 06:00 UTC 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deployment — one command drives the whole chain over REST APIs: create connections, import definitions, resolve bindings, prepare, then start every task in dependency order (landing &gt; transform &gt; datamart):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 (with pipelines.prepare + pipelines.run enabled)</w:t>
            </w:r>
          </w:p>
          <w:p>
            <w:pPr>
              <w:spacing w:after="0"/>
            </w:pPr>
            <w:r>
              <w:rPr>
                <w:rFonts w:ascii="Inter" w:cs="Inter" w:eastAsia="Inter" w:hAnsi="Inter"/>
                <w:color w:val="54565A"/>
                <w:sz w:val="20"/>
                <w:szCs w:val="20"/>
              </w:rPr>
              <w:t xml:space="preserve">npm run deploy</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the deploy web UI toggles on the pipeline page: Prepare, Start tasks, Attach gold datasets to Data Products, Publish to marketplace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Credential-free option — package the project for manual import (Data Integration &gt; your project &gt;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npm run pipeline:zip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Pipelines as code means the medallion architecture is reproducible, reviewable, and versioned. A new tenant goes from empty to a full, running, daily-scheduled bronze/silver/gold pipeline in minutes — and every transformation change has a git history. After the first run, the deploy attaches the gold catalog datasets to their Data Products automatically (Module 5 shows the result).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What you just saw is raw data arriving from three systems, getting cleansed through 8 transformation routes that directly address MCG's 7 data nightmares, and emerging as two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54565A"/>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2026-09-21T20:12:53.661Z</dcterms:created>
  <dcterms:modified xsi:type="dcterms:W3CDTF">2026-09-21T20:12:53.661Z</dcterms:modified>
</cp:coreProperties>
</file>

<file path=docProps/custom.xml><?xml version="1.0" encoding="utf-8"?>
<Properties xmlns="http://schemas.openxmlformats.org/officeDocument/2006/custom-properties" xmlns:vt="http://schemas.openxmlformats.org/officeDocument/2006/docPropsVTypes"/>
</file>