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bottom w:val="single" w:color="006580" w:sz="2" w:space="4"/>
        </w:pBdr>
        <w:spacing w:after="160" w:before="360"/>
      </w:pPr>
      <w:r>
        <w:rPr>
          <w:rFonts w:ascii="Inter" w:cs="Inter" w:eastAsia="Inter" w:hAnsi="Inter"/>
          <w:b/>
          <w:bCs/>
          <w:color w:val="19416C"/>
          <w:sz w:val="30"/>
          <w:szCs w:val="30"/>
        </w:rPr>
        <w:t xml:space="preserve">Module 5: Data Products &amp; API Sharing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Duration</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10-15 minutes</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Checklist Phase</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Phase 4</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Nightmares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All 7 (every nightmare feeds at least one data product)</w:t>
            </w:r>
          </w:p>
        </w:tc>
      </w:tr>
      <w:tr>
        <w:tc>
          <w:tcPr>
            <w:tcW w:type="pct" w:w="30%"/>
            <w:shd w:color="19416C" w:val="solid"/>
            <w:tcMar>
              <w:top w:type="dxa" w:w="40"/>
              <w:left w:type="dxa" w:w="100"/>
              <w:bottom w:type="dxa" w:w="40"/>
              <w:right w:type="dxa" w:w="100"/>
            </w:tcMar>
          </w:tcPr>
          <w:p>
            <w:pPr>
              <w:spacing w:after="0"/>
            </w:pPr>
            <w:r>
              <w:rPr>
                <w:rFonts w:ascii="Inter" w:cs="Inter" w:eastAsia="Inter" w:hAnsi="Inter"/>
                <w:b/>
                <w:bCs/>
                <w:color w:val="FFFFFF"/>
                <w:sz w:val="20"/>
                <w:szCs w:val="20"/>
              </w:rPr>
              <w:t xml:space="preserve">Components</w:t>
            </w:r>
          </w:p>
        </w:tc>
        <w:tc>
          <w:tcPr>
            <w:tcW w:type="pct" w:w="70%"/>
            <w:shd w:color="F6F7F8" w:val="solid"/>
            <w:tcMar>
              <w:top w:type="dxa" w:w="40"/>
              <w:left w:type="dxa" w:w="100"/>
              <w:bottom w:type="dxa" w:w="40"/>
              <w:right w:type="dxa" w:w="100"/>
            </w:tcMar>
          </w:tcPr>
          <w:p>
            <w:pPr>
              <w:spacing w:after="0"/>
            </w:pPr>
            <w:r>
              <w:rPr>
                <w:rFonts w:ascii="Inter" w:cs="Inter" w:eastAsia="Inter" w:hAnsi="Inter"/>
                <w:color w:val="54565A"/>
                <w:sz w:val="20"/>
                <w:szCs w:val="20"/>
              </w:rPr>
              <w:t xml:space="preserve">Data Products, AI-Driven Descriptions, Semantic Types, Validation Rules, API Sharing, Data Marketplace</w:t>
            </w:r>
          </w:p>
        </w:tc>
      </w:tr>
    </w:tbl>
    <w:p>
      <w:pPr>
        <w:spacing w:after="120" w:before="80"/>
      </w:pPr>
      <w:r>
        <w:rPr>
          <w:rFonts w:ascii="Inter" w:cs="Inter" w:eastAsia="Inter" w:hAnsi="Inter"/>
          <w:b/>
          <w:bCs/>
          <w:color w:val="006580"/>
          <w:sz w:val="20"/>
          <w:szCs w:val="20"/>
        </w:rPr>
        <w:t xml:space="preserve">Project Qlarity context:  </w:t>
      </w:r>
      <w:r>
        <w:rPr>
          <w:rFonts w:ascii="Inter" w:cs="Inter" w:eastAsia="Inter" w:hAnsi="Inter"/>
          <w:i/>
          <w:iCs/>
          <w:color w:val="54565A"/>
          <w:sz w:val="20"/>
          <w:szCs w:val="20"/>
        </w:rPr>
        <w:t xml:space="preserve">Project Qlarity Phase 2 (Analytics &amp; Quality): the governed Gold data products. Owners, SLAs, Trust Scores, and validation rules that route violations to stewardship are how Qlarity makes the remediation of all Seven Nightmares durable and consumable.</w:t>
      </w:r>
    </w:p>
    <w:p>
      <w:pPr>
        <w:spacing w:after="120" w:before="280"/>
      </w:pPr>
      <w:r>
        <w:rPr>
          <w:rFonts w:ascii="Inter" w:cs="Inter" w:eastAsia="Inter" w:hAnsi="Inter"/>
          <w:b/>
          <w:bCs/>
          <w:color w:val="006580"/>
          <w:sz w:val="26"/>
          <w:szCs w:val="26"/>
        </w:rPr>
        <w:t xml:space="preserve">Overview</w:t>
      </w:r>
    </w:p>
    <w:p>
      <w:pPr>
        <w:spacing w:after="120"/>
        <w:jc w:val="left"/>
      </w:pPr>
      <w:r>
        <w:rPr>
          <w:rFonts w:ascii="Inter" w:cs="Inter" w:eastAsia="Inter" w:hAnsi="Inter"/>
          <w:b w:val="false"/>
          <w:bCs w:val="false"/>
          <w:i w:val="false"/>
          <w:iCs w:val="false"/>
          <w:color w:val="54565A"/>
          <w:sz w:val="21"/>
          <w:szCs w:val="21"/>
        </w:rPr>
        <w:t xml:space="preserve">Gold-layer tables become governed Data Products with owners, SLAs, Trust Scores, and API access. AI automatically generates descriptions and suggests validation rules. The Data Marketplace lets business users discover and request access to data products.</w:t>
      </w:r>
    </w:p>
    <w:p>
      <w:pPr>
        <w:spacing w:after="120" w:before="280"/>
      </w:pPr>
      <w:r>
        <w:rPr>
          <w:rFonts w:ascii="Inter" w:cs="Inter" w:eastAsia="Inter" w:hAnsi="Inter"/>
          <w:b/>
          <w:bCs/>
          <w:color w:val="006580"/>
          <w:sz w:val="26"/>
          <w:szCs w:val="26"/>
        </w:rPr>
        <w:t xml:space="preserve">Demo Walk-Through</w:t>
      </w:r>
    </w:p>
    <w:p>
      <w:pPr>
        <w:spacing w:after="120" w:before="280"/>
      </w:pPr>
      <w:r>
        <w:rPr>
          <w:rFonts w:ascii="Inter" w:cs="Inter" w:eastAsia="Inter" w:hAnsi="Inter"/>
          <w:b/>
          <w:bCs/>
          <w:color w:val="006580"/>
          <w:sz w:val="26"/>
          <w:szCs w:val="26"/>
        </w:rPr>
        <w:t xml:space="preserve">Demo Methodology: Tell → Show → Tell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
            <w:tcBorders>
              <w:top w:val="none"/>
              <w:left w:val="none"/>
              <w:bottom w:val="none"/>
              <w:right w:val="none"/>
            </w:tcBorders>
            <w:shd w:color="19416C" w:val="solid"/>
          </w:tcPr>
          <w:p>
            <w:pPr>
              <w:spacing w:after="0"/>
            </w:pPr>
            <w:r>
              <w:rPr>
                <w:sz w:val="10"/>
                <w:szCs w:val="10"/>
              </w:rPr>
              <w:t xml:space="preserve"> </w:t>
            </w:r>
          </w:p>
        </w:tc>
        <w:tc>
          <w:tcPr>
            <w:tcW w:type="pct" w:w="98%"/>
            <w:shd w:color="E3EAF3" w:val="solid"/>
            <w:tcMar>
              <w:top w:type="dxa" w:w="60"/>
              <w:left w:type="dxa" w:w="120"/>
              <w:bottom w:type="dxa" w:w="60"/>
              <w:right w:type="dxa" w:w="120"/>
            </w:tcMar>
          </w:tcPr>
          <w:p>
            <w:pPr>
              <w:spacing w:after="40"/>
            </w:pPr>
            <w:r>
              <w:rPr>
                <w:rFonts w:ascii="Inter" w:cs="Inter" w:eastAsia="Inter" w:hAnsi="Inter"/>
                <w:b/>
                <w:bCs/>
                <w:color w:val="19416C"/>
                <w:sz w:val="18"/>
                <w:szCs w:val="18"/>
              </w:rPr>
              <w:t xml:space="preserve">Limbic Opening  (Industry Insights)</w:t>
            </w:r>
          </w:p>
          <w:p>
            <w:pPr>
              <w:spacing w:after="0"/>
            </w:pPr>
            <w:r>
              <w:rPr>
                <w:rFonts w:ascii="Inter" w:cs="Inter" w:eastAsia="Inter" w:hAnsi="Inter"/>
                <w:i/>
                <w:iCs/>
                <w:color w:val="54565A"/>
                <w:sz w:val="20"/>
                <w:szCs w:val="20"/>
              </w:rPr>
              <w:t xml:space="preserve">MCG's data engineering team built 23 Gold tables last year. By December, 14 had no documentation, 6 had no owner, and the business didn't know 9 of them existed. Meanwhile, three different teams independently built their own 'customer delivery' datasets — all slightly different, all 'correct.' Data Products turn undiscoverable assets into governed, SLA-backed products with clear ownership.</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"How does your organization currently discover and access analytical datasets — is there a catalog, or is it tribal knowledge?"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6580" w:sz="1"/>
              <w:left w:val="single" w:color="006580" w:sz="6"/>
              <w:bottom w:val="single" w:color="006580" w:sz="1"/>
              <w:right w:val="none"/>
            </w:tcBorders>
            <w:shd w:color="E0F2F5" w:val="solid"/>
            <w:tcMar>
              <w:top w:type="dxa" w:w="40"/>
              <w:left w:type="dxa" w:w="120"/>
              <w:bottom w:type="dxa" w:w="40"/>
              <w:right w:type="dxa" w:w="120"/>
            </w:tcMar>
          </w:tcPr>
          <w:p>
            <w:pPr>
              <w:spacing w:after="30"/>
            </w:pPr>
            <w:r>
              <w:rPr>
                <w:rFonts w:ascii="Inter" w:cs="Inter" w:eastAsia="Inter" w:hAnsi="Inter"/>
                <w:b/>
                <w:bCs/>
                <w:color w:val="006580"/>
                <w:sz w:val="16"/>
                <w:szCs w:val="16"/>
              </w:rPr>
              <w:t xml:space="preserve">TELL (before showing)</w:t>
            </w:r>
          </w:p>
          <w:p>
            <w:pPr>
              <w:spacing w:after="0"/>
            </w:pPr>
            <w:r>
              <w:rPr>
                <w:rFonts w:ascii="Inter" w:cs="Inter" w:eastAsia="Inter" w:hAnsi="Inter"/>
                <w:i/>
                <w:iCs/>
                <w:color w:val="54565A"/>
                <w:sz w:val="18"/>
                <w:szCs w:val="18"/>
              </w:rPr>
              <w:t xml:space="preserve">I'm going to show you how MCG turns Gold tables into governed Data Products — with AI-generated descriptions, validation rules, Trust Scores, and API sharing. A Data Product is a contract between the data team and the business.</w:t>
            </w:r>
          </w:p>
        </w:tc>
      </w:tr>
    </w:tbl>
    <w:p>
      <w:pPr>
        <w:spacing w:after="100" w:before="200"/>
      </w:pPr>
      <w:r>
        <w:rPr>
          <w:rFonts w:ascii="Inter" w:cs="Inter" w:eastAsia="Inter" w:hAnsi="Inter"/>
          <w:b/>
          <w:bCs/>
          <w:color w:val="19416C"/>
          <w:sz w:val="22"/>
          <w:szCs w:val="22"/>
        </w:rPr>
        <w:t xml:space="preserve">Step 1: Register Data Products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Data Catalog &gt; Data Products &gt; Register</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Register "Supply Chain Health" — assign owner Henrik Jansen, tags: inventory, phantom-inventory, kpi</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Click 'Generate Description' to auto-create AI-driven metadata from schema + sample data</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Review AI-generated product description and column-level descriptions</w:t>
      </w:r>
    </w:p>
    <w:p>
      <w:pPr>
        <w:spacing w:after="80"/>
        <w:ind w:left="431"/>
      </w:pPr>
      <w:r>
        <w:rPr>
          <w:rFonts w:ascii="Inter" w:cs="Inter" w:eastAsia="Inter" w:hAnsi="Inter"/>
          <w:b/>
          <w:bCs/>
          <w:color w:val="006580"/>
          <w:sz w:val="21"/>
          <w:szCs w:val="21"/>
        </w:rPr>
        <w:t xml:space="preserve">5. </w:t>
      </w:r>
      <w:r>
        <w:rPr>
          <w:rFonts w:ascii="Inter" w:cs="Inter" w:eastAsia="Inter" w:hAnsi="Inter"/>
          <w:b w:val="false"/>
          <w:bCs w:val="false"/>
          <w:color w:val="54565A"/>
          <w:sz w:val="21"/>
          <w:szCs w:val="21"/>
        </w:rPr>
        <w:t xml:space="preserve">Publish descriptions for Data Marketplace discoverability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AI-driven descriptions save hours of manual documentation. The AI reads the actual data, understands the schema, and writes descriptions that are grounded in reality — not aspirational.</w:t>
            </w:r>
          </w:p>
        </w:tc>
      </w:tr>
    </w:tbl>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Deployment note: the primary path is npm run deploy — it provisions both data products via the Data Products API, attaches each product's gold dataset from the catalog once the pipeline has run, and (optionally) activates the product in the marketplace. Walk the manual steps above to show the workflow interactively; the API path is what actually deploys the environment.</w:t>
            </w:r>
          </w:p>
        </w:tc>
      </w:tr>
    </w:tbl>
    <w:p>
      <w:pPr>
        <w:spacing w:after="100" w:before="200"/>
      </w:pPr>
      <w:r>
        <w:rPr>
          <w:rFonts w:ascii="Inter" w:cs="Inter" w:eastAsia="Inter" w:hAnsi="Inter"/>
          <w:b/>
          <w:bCs/>
          <w:color w:val="19416C"/>
          <w:sz w:val="22"/>
          <w:szCs w:val="22"/>
        </w:rPr>
        <w:t xml:space="preserve">Step 2: Semantic Types &amp; Validation Rules</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Navigate to a data product &gt; Schema &gt; Review AI-detected semantic types</w:t>
      </w:r>
    </w:p>
    <w:p>
      <w:pPr>
        <w:spacing w:after="120"/>
        <w:jc w:val="left"/>
      </w:pPr>
      <w:r>
        <w:rPr>
          <w:rFonts w:ascii="Inter" w:cs="Inter" w:eastAsia="Inter" w:hAnsi="Inter"/>
          <w:b w:val="false"/>
          <w:bCs w:val="false"/>
          <w:i w:val="false"/>
          <w:iCs w:val="false"/>
          <w:color w:val="54565A"/>
          <w:sz w:val="21"/>
          <w:szCs w:val="21"/>
        </w:rPr>
        <w:t xml:space="preserve">Examples: dc_id detected as Identifier, ira_pct as Percentage, carrier as Categorical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Review AI-suggested validation rules: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Column</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Suggested Rule</w:t>
            </w:r>
          </w:p>
        </w:tc>
        <w:tc>
          <w:tcPr>
            <w:shd w:color="006580" w:val="solid"/>
            <w:tcMar>
              <w:top w:type="dxa" w:w="40"/>
              <w:left w:type="dxa" w:w="80"/>
              <w:bottom w:type="dxa" w:w="40"/>
              <w:right w:type="dxa" w:w="80"/>
            </w:tcMar>
          </w:tcPr>
          <w:p>
            <w:pPr>
              <w:spacing w:after="0"/>
            </w:pPr>
            <w:r>
              <w:rPr>
                <w:rFonts w:ascii="Inter" w:cs="Inter" w:eastAsia="Inter" w:hAnsi="Inter"/>
                <w:b/>
                <w:bCs/>
                <w:color w:val="FFFFFF"/>
                <w:sz w:val="19"/>
                <w:szCs w:val="19"/>
              </w:rPr>
              <w:t xml:space="preserve">Type</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ira_pct</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Value between 0.0 and 1.0</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Range constraint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dc_id</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Matches pattern DC-[A-Z]{3}-\d{2}</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Pattern match</w:t>
            </w:r>
          </w:p>
        </w:tc>
      </w:tr>
      <w:tr>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pipeline_status</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One of: HEALTHY, DEGRADED, FAILED</w:t>
            </w:r>
          </w:p>
        </w:tc>
        <w:tc>
          <w:tcPr>
            <w:shd w:color="F6F7F8" w:val="solid"/>
            <w:tcMar>
              <w:top w:type="dxa" w:w="30"/>
              <w:left w:type="dxa" w:w="80"/>
              <w:bottom w:type="dxa" w:w="30"/>
              <w:right w:type="dxa" w:w="80"/>
            </w:tcMar>
          </w:tcPr>
          <w:p>
            <w:pPr>
              <w:spacing w:after="0"/>
            </w:pPr>
            <w:r>
              <w:rPr>
                <w:rFonts w:ascii="Inter" w:cs="Inter" w:eastAsia="Inter" w:hAnsi="Inter"/>
                <w:color w:val="54565A"/>
                <w:sz w:val="19"/>
                <w:szCs w:val="19"/>
              </w:rPr>
              <w:t xml:space="preserve">Enum constraint</w:t>
            </w:r>
          </w:p>
        </w:tc>
      </w:tr>
      <w:tr>
        <w:tc>
          <w:tcPr>
            <w:tcMar>
              <w:top w:type="dxa" w:w="30"/>
              <w:left w:type="dxa" w:w="80"/>
              <w:bottom w:type="dxa" w:w="30"/>
              <w:right w:type="dxa" w:w="80"/>
            </w:tcMar>
          </w:tcPr>
          <w:p>
            <w:pPr>
              <w:spacing w:after="0"/>
            </w:pPr>
            <w:r>
              <w:rPr>
                <w:rFonts w:ascii="Inter" w:cs="Inter" w:eastAsia="Inter" w:hAnsi="Inter"/>
                <w:color w:val="54565A"/>
                <w:sz w:val="19"/>
                <w:szCs w:val="19"/>
              </w:rPr>
              <w:t xml:space="preserve">lot_number</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NOT NULL when perishable = TRUE</w:t>
            </w:r>
          </w:p>
        </w:tc>
        <w:tc>
          <w:tcPr>
            <w:tcMar>
              <w:top w:type="dxa" w:w="30"/>
              <w:left w:type="dxa" w:w="80"/>
              <w:bottom w:type="dxa" w:w="30"/>
              <w:right w:type="dxa" w:w="80"/>
            </w:tcMar>
          </w:tcPr>
          <w:p>
            <w:pPr>
              <w:spacing w:after="0"/>
            </w:pPr>
            <w:r>
              <w:rPr>
                <w:rFonts w:ascii="Inter" w:cs="Inter" w:eastAsia="Inter" w:hAnsi="Inter"/>
                <w:color w:val="54565A"/>
                <w:sz w:val="19"/>
                <w:szCs w:val="19"/>
              </w:rPr>
              <w:t xml:space="preserve">Conditional completeness</w:t>
            </w:r>
          </w:p>
        </w:tc>
      </w:tr>
    </w:tbl>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Accept or modify rules — violations automatically route to Stewardship sprints</w:t>
      </w:r>
    </w:p>
    <w:p>
      <w:pPr>
        <w:spacing w:after="100" w:before="200"/>
      </w:pPr>
      <w:r>
        <w:rPr>
          <w:rFonts w:ascii="Inter" w:cs="Inter" w:eastAsia="Inter" w:hAnsi="Inter"/>
          <w:b/>
          <w:bCs/>
          <w:color w:val="19416C"/>
          <w:sz w:val="22"/>
          <w:szCs w:val="22"/>
        </w:rPr>
        <w:t xml:space="preserve">Step 3: API Sharing</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Enable API sharing on Supply Chain Health, Last Mile Performance</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Show the API endpoint URL for each product</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Test with a curl command or Postman request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1%"/>
            <w:tcBorders>
              <w:top w:val="none"/>
              <w:left w:val="none"/>
              <w:bottom w:val="none"/>
              <w:right w:val="none"/>
            </w:tcBorders>
            <w:shd w:color="006580" w:val="solid"/>
          </w:tcPr>
          <w:p>
            <w:pPr>
              <w:spacing w:after="0"/>
            </w:pPr>
            <w:r>
              <w:rPr>
                <w:sz w:val="10"/>
                <w:szCs w:val="10"/>
              </w:rPr>
              <w:t xml:space="preserve"> </w:t>
            </w:r>
          </w:p>
        </w:tc>
        <w:tc>
          <w:tcPr>
            <w:tcW w:type="pct" w:w="99%"/>
            <w:shd w:color="F6F7F8" w:val="solid"/>
            <w:tcMar>
              <w:top w:type="dxa" w:w="80"/>
              <w:left w:type="dxa" w:w="120"/>
              <w:bottom w:type="dxa" w:w="80"/>
              <w:right w:type="dxa" w:w="120"/>
            </w:tcMar>
          </w:tcPr>
          <w:p>
            <w:pPr>
              <w:spacing w:after="0"/>
            </w:pPr>
            <w:r>
              <w:rPr>
                <w:rFonts w:ascii="Inter" w:cs="Inter" w:eastAsia="Inter" w:hAnsi="Inter"/>
                <w:color w:val="54565A"/>
                <w:sz w:val="20"/>
                <w:szCs w:val="20"/>
              </w:rPr>
              <w:t xml:space="preserve">Talking point: API sharing means these data products aren't locked in Qlik — they feed Discovery Agent, MCP Server, external dashboards, and partner portals. Data products become a service, not just a table.</w:t>
            </w:r>
          </w:p>
        </w:tc>
      </w:tr>
    </w:tbl>
    <w:p>
      <w:pPr>
        <w:spacing w:after="100" w:before="200"/>
      </w:pPr>
      <w:r>
        <w:rPr>
          <w:rFonts w:ascii="Inter" w:cs="Inter" w:eastAsia="Inter" w:hAnsi="Inter"/>
          <w:b/>
          <w:bCs/>
          <w:color w:val="19416C"/>
          <w:sz w:val="22"/>
          <w:szCs w:val="22"/>
        </w:rPr>
        <w:t xml:space="preserve">Step 4: Data Marketplace</w:t>
      </w:r>
    </w:p>
    <w:p>
      <w:pPr>
        <w:spacing w:after="80"/>
        <w:ind w:left="431"/>
      </w:pPr>
      <w:r>
        <w:rPr>
          <w:rFonts w:ascii="Inter" w:cs="Inter" w:eastAsia="Inter" w:hAnsi="Inter"/>
          <w:b/>
          <w:bCs/>
          <w:color w:val="006580"/>
          <w:sz w:val="21"/>
          <w:szCs w:val="21"/>
        </w:rPr>
        <w:t xml:space="preserve">1. </w:t>
      </w:r>
      <w:r>
        <w:rPr>
          <w:rFonts w:ascii="Inter" w:cs="Inter" w:eastAsia="Inter" w:hAnsi="Inter"/>
          <w:b w:val="false"/>
          <w:bCs w:val="false"/>
          <w:color w:val="54565A"/>
          <w:sz w:val="21"/>
          <w:szCs w:val="21"/>
        </w:rPr>
        <w:t xml:space="preserve">Open the Data Marketplace self-service portal</w:t>
      </w:r>
    </w:p>
    <w:p>
      <w:pPr>
        <w:spacing w:after="80"/>
        <w:ind w:left="431"/>
      </w:pPr>
      <w:r>
        <w:rPr>
          <w:rFonts w:ascii="Inter" w:cs="Inter" w:eastAsia="Inter" w:hAnsi="Inter"/>
          <w:b/>
          <w:bCs/>
          <w:color w:val="006580"/>
          <w:sz w:val="21"/>
          <w:szCs w:val="21"/>
        </w:rPr>
        <w:t xml:space="preserve">2. </w:t>
      </w:r>
      <w:r>
        <w:rPr>
          <w:rFonts w:ascii="Inter" w:cs="Inter" w:eastAsia="Inter" w:hAnsi="Inter"/>
          <w:b w:val="false"/>
          <w:bCs w:val="false"/>
          <w:color w:val="54565A"/>
          <w:sz w:val="21"/>
          <w:szCs w:val="21"/>
        </w:rPr>
        <w:t xml:space="preserve">Browse data products — show AI-generated descriptions and Trust Scores</w:t>
      </w:r>
    </w:p>
    <w:p>
      <w:pPr>
        <w:spacing w:after="80"/>
        <w:ind w:left="431"/>
      </w:pPr>
      <w:r>
        <w:rPr>
          <w:rFonts w:ascii="Inter" w:cs="Inter" w:eastAsia="Inter" w:hAnsi="Inter"/>
          <w:b/>
          <w:bCs/>
          <w:color w:val="006580"/>
          <w:sz w:val="21"/>
          <w:szCs w:val="21"/>
        </w:rPr>
        <w:t xml:space="preserve">3. </w:t>
      </w:r>
      <w:r>
        <w:rPr>
          <w:rFonts w:ascii="Inter" w:cs="Inter" w:eastAsia="Inter" w:hAnsi="Inter"/>
          <w:b w:val="false"/>
          <w:bCs w:val="false"/>
          <w:color w:val="54565A"/>
          <w:sz w:val="21"/>
          <w:szCs w:val="21"/>
        </w:rPr>
        <w:t xml:space="preserve">Search by tag: "carrier" — should find Last Mile Performance product</w:t>
      </w:r>
    </w:p>
    <w:p>
      <w:pPr>
        <w:spacing w:after="80"/>
        <w:ind w:left="431"/>
      </w:pPr>
      <w:r>
        <w:rPr>
          <w:rFonts w:ascii="Inter" w:cs="Inter" w:eastAsia="Inter" w:hAnsi="Inter"/>
          <w:b/>
          <w:bCs/>
          <w:color w:val="006580"/>
          <w:sz w:val="21"/>
          <w:szCs w:val="21"/>
        </w:rPr>
        <w:t xml:space="preserve">4. </w:t>
      </w:r>
      <w:r>
        <w:rPr>
          <w:rFonts w:ascii="Inter" w:cs="Inter" w:eastAsia="Inter" w:hAnsi="Inter"/>
          <w:b w:val="false"/>
          <w:bCs w:val="false"/>
          <w:color w:val="54565A"/>
          <w:sz w:val="21"/>
          <w:szCs w:val="21"/>
        </w:rPr>
        <w:t xml:space="preserve">Demonstrate access request workflow for a business user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W w:type="pct" w:w="100%"/>
            <w:tcBorders>
              <w:top w:val="single" w:color="009845" w:sz="1"/>
              <w:left w:val="single" w:color="009845" w:sz="6"/>
              <w:bottom w:val="single" w:color="009845" w:sz="1"/>
              <w:right w:val="none"/>
            </w:tcBorders>
            <w:shd w:color="E0F5EA" w:val="solid"/>
            <w:tcMar>
              <w:top w:type="dxa" w:w="40"/>
              <w:left w:type="dxa" w:w="120"/>
              <w:bottom w:type="dxa" w:w="40"/>
              <w:right w:type="dxa" w:w="120"/>
            </w:tcMar>
          </w:tcPr>
          <w:p>
            <w:pPr>
              <w:spacing w:after="30"/>
            </w:pPr>
            <w:r>
              <w:rPr>
                <w:rFonts w:ascii="Inter" w:cs="Inter" w:eastAsia="Inter" w:hAnsi="Inter"/>
                <w:b/>
                <w:bCs/>
                <w:color w:val="009845"/>
                <w:sz w:val="16"/>
                <w:szCs w:val="16"/>
              </w:rPr>
              <w:t xml:space="preserve">TELL (after showing)</w:t>
            </w:r>
          </w:p>
          <w:p>
            <w:pPr>
              <w:spacing w:after="0"/>
            </w:pPr>
            <w:r>
              <w:rPr>
                <w:rFonts w:ascii="Inter" w:cs="Inter" w:eastAsia="Inter" w:hAnsi="Inter"/>
                <w:i/>
                <w:iCs/>
                <w:color w:val="54565A"/>
                <w:sz w:val="18"/>
                <w:szCs w:val="18"/>
              </w:rPr>
              <w:t xml:space="preserve">What you saw is data as a product: owned, documented, quality-scored, and accessible via API. No more shadow datasets, no more tribal knowledge, no more 'which version of the customer table is right?'</w:t>
            </w:r>
          </w:p>
        </w:tc>
      </w:tr>
    </w:tbl>
    <w:p>
      <w:pPr>
        <w:spacing w:after="80" w:before="80"/>
      </w:pPr>
      <w:r>
        <w:rPr>
          <w:rFonts w:ascii="Inter" w:cs="Inter" w:eastAsia="Inter" w:hAnsi="Inter"/>
          <w:b/>
          <w:bCs/>
          <w:color w:val="10CFC9"/>
          <w:sz w:val="20"/>
          <w:szCs w:val="20"/>
        </w:rPr>
        <w:t xml:space="preserve">Ask the audience: </w:t>
      </w:r>
      <w:r>
        <w:rPr>
          <w:rFonts w:ascii="Inter" w:cs="Inter" w:eastAsia="Inter" w:hAnsi="Inter"/>
          <w:i/>
          <w:iCs/>
          <w:color w:val="54565A"/>
          <w:sz w:val="20"/>
          <w:szCs w:val="20"/>
        </w:rPr>
        <w:t xml:space="preserve">"If you could expose any of your internal datasets as a governed API tomorrow, which one would create the most value?"</w:t>
      </w:r>
    </w:p>
    <w:p>
      <w:pPr>
        <w:spacing w:after="100" w:before="60"/>
      </w:pPr>
      <w:r>
        <w:rPr>
          <w:rFonts w:ascii="Inter" w:cs="Inter" w:eastAsia="Inter" w:hAnsi="Inter"/>
          <w:color w:val="54565A"/>
          <w:sz w:val="20"/>
          <w:szCs w:val="20"/>
        </w:rPr>
        <w:t xml:space="preserve">Publish governed data products with AI-generated documentation</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eliminate shadow datasets and ensure one version of truth</w:t>
      </w:r>
      <w:r>
        <w:rPr>
          <w:rFonts w:ascii="Inter" w:cs="Inter" w:eastAsia="Inter" w:hAnsi="Inter"/>
          <w:b/>
          <w:bCs/>
          <w:color w:val="009845"/>
          <w:sz w:val="20"/>
          <w:szCs w:val="20"/>
        </w:rPr>
        <w:t xml:space="preserve">  →  so you can  </w:t>
      </w:r>
      <w:r>
        <w:rPr>
          <w:rFonts w:ascii="Inter" w:cs="Inter" w:eastAsia="Inter" w:hAnsi="Inter"/>
          <w:color w:val="54565A"/>
          <w:sz w:val="20"/>
          <w:szCs w:val="20"/>
        </w:rPr>
        <w:t xml:space="preserve">let the business self-serve trusted data without filing tickets</w:t>
      </w:r>
    </w:p>
    <w:p>
      <w:pPr>
        <w:spacing w:after="120" w:before="280"/>
      </w:pPr>
      <w:r>
        <w:rPr>
          <w:rFonts w:ascii="Inter" w:cs="Inter" w:eastAsia="Inter" w:hAnsi="Inter"/>
          <w:b/>
          <w:bCs/>
          <w:color w:val="006580"/>
          <w:sz w:val="26"/>
          <w:szCs w:val="26"/>
        </w:rPr>
        <w:t xml:space="preserve">Talking Points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Data Products turn tables into governed, discoverable business assets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AI descriptions eliminate the documentation bottleneck — metadata is always fresh</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Validation rules enforce quality automatically — violations create Stewardship tasks</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API sharing enables a data mesh architecture — producers publish, consumers subscribe</w:t>
      </w:r>
    </w:p>
    <w:p>
      <w:pPr>
        <w:pStyle w:val="ListParagraph"/>
        <w:numPr>
          <w:ilvl w:val="0"/>
          <w:numId w:val="1"/>
        </w:numPr>
        <w:spacing w:after="120"/>
        <w:jc w:val="left"/>
      </w:pPr>
      <w:r>
        <w:rPr>
          <w:rFonts w:ascii="Inter" w:cs="Inter" w:eastAsia="Inter" w:hAnsi="Inter"/>
          <w:b w:val="false"/>
          <w:bCs w:val="false"/>
          <w:i w:val="false"/>
          <w:iCs w:val="false"/>
          <w:color w:val="19416C"/>
          <w:sz w:val="21"/>
          <w:szCs w:val="21"/>
        </w:rPr>
        <w:t xml:space="preserve">The Marketplace is self-service: business users find and request data without filing IT tickets</w:t>
      </w:r>
    </w:p>
    <w:sectPr>
      <w:headerReference w:type="default" r:id="rId7"/>
      <w:footerReference w:type="default" r:id="rId8"/>
      <w:pgSz w:w="11906" w:h="16838" w:orient="portrait"/>
      <w:pgMar w:top="1727" w:right="1440" w:bottom="1152"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009845" w:sz="4" w:space="4"/>
      </w:pBdr>
      <w:spacing w:before="0"/>
    </w:pPr>
    <w:r>
      <w:rPr>
        <w:sz w:val="4"/>
        <w:szCs w:val="4"/>
      </w:rPr>
      <w:t xml:space="preserve"/>
    </w:r>
  </w:p>
  <w:p>
    <w:pPr>
      <w:spacing w:after="0" w:before="0"/>
      <w:jc w:val="center"/>
    </w:pPr>
    <w:r>
      <w:rPr>
        <w:rFonts w:ascii="Inter" w:cs="Inter" w:eastAsia="Inter" w:hAnsi="Inter"/>
        <w:color w:val="54565A"/>
        <w:sz w:val="14"/>
        <w:szCs w:val="14"/>
      </w:rPr>
      <w:t xml:space="preserve">Qlik</w:t>
    </w:r>
  </w:p>
  <w:p>
    <w:pPr>
      <w:spacing w:after="0" w:before="40"/>
      <w:jc w:val="center"/>
    </w:pPr>
    <w:r>
      <w:rPr>
        <w:rFonts w:ascii="Inter" w:cs="Inter" w:eastAsia="Inter" w:hAnsi="Inter"/>
        <w:b/>
        <w:bCs/>
        <w:color w:val="009845"/>
        <w:sz w:val="13"/>
        <w:szCs w:val="13"/>
      </w:rPr>
      <w:t xml:space="preserve">CONFIDENTIAL — </w:t>
    </w:r>
    <w:r>
      <w:rPr>
        <w:rFonts w:ascii="Inter" w:cs="Inter" w:eastAsia="Inter" w:hAnsi="Inter"/>
        <w:color w:val="54565A"/>
        <w:sz w:val="13"/>
        <w:szCs w:val="13"/>
      </w:rPr>
      <w:t xml:space="preserve">Page </w:t>
    </w:r>
    <w:r>
      <w:rPr>
        <w:rFonts w:ascii="Inter" w:cs="Inter" w:eastAsia="Inter" w:hAnsi="Inter"/>
        <w:color w:val="54565A"/>
        <w:sz w:val="13"/>
        <w:szCs w:val="13"/>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60"/>
    </w:pPr>
    <w:r>
      <w:drawing>
        <wp:inline distT="0" distB="0" distL="0" distR="0">
          <wp:extent cx="1123950" cy="6286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123950" cy="628650"/>
                  </a:xfrm>
                  <a:prstGeom prst="rect">
                    <a:avLst/>
                  </a:prstGeom>
                </pic:spPr>
              </pic:pic>
            </a:graphicData>
          </a:graphic>
        </wp:inline>
      </w:drawing>
    </w:r>
  </w:p>
  <w:p>
    <w:pPr>
      <w:pBdr>
        <w:bottom w:val="single" w:color="009845" w:sz="8" w:space="4"/>
      </w:pBdr>
      <w:spacing w:after="0"/>
    </w:pPr>
    <w:r>
      <w:rPr>
        <w:sz w:val="4"/>
        <w:szCs w:val="4"/>
      </w:rPr>
      <w:t xml:space="preserve"/>
    </w:r>
  </w:p>
  <w:p>
    <w:pPr>
      <w:spacing w:after="0" w:before="60"/>
      <w:jc w:val="right"/>
    </w:pPr>
    <w:r>
      <w:rPr>
        <w:rFonts w:ascii="Inter" w:cs="Inter" w:eastAsia="Inter" w:hAnsi="Inter"/>
        <w:b/>
        <w:bCs/>
        <w:caps/>
        <w:color w:val="009845"/>
        <w:sz w:val="18"/>
        <w:szCs w:val="18"/>
      </w:rPr>
      <w:t xml:space="preserve">Project Qlarity Demo Walkthrough — Module 5</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Inter" w:cs="Inter" w:eastAsia="Inter" w:hAnsi="Inter"/>
        <w:color w:val="54565A"/>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pPr>
    <w:rPr>
      <w:rFonts w:ascii="Inter" w:cs="Inter" w:eastAsia="Inter" w:hAnsi="Inter"/>
      <w:b/>
      <w:bCs/>
      <w:color w:val="19416C"/>
      <w:sz w:val="32"/>
      <w:szCs w:val="32"/>
    </w:rPr>
  </w:style>
  <w:style w:type="paragraph" w:styleId="Heading2">
    <w:name w:val="Heading 2"/>
    <w:basedOn w:val="Normal"/>
    <w:next w:val="Normal"/>
    <w:qFormat/>
    <w:pPr>
      <w:spacing w:after="160" w:before="300"/>
    </w:pPr>
    <w:rPr>
      <w:rFonts w:ascii="Inter" w:cs="Inter" w:eastAsia="Inter" w:hAnsi="Inter"/>
      <w:b/>
      <w:bCs/>
      <w:color w:val="006580"/>
      <w:sz w:val="26"/>
      <w:szCs w:val="26"/>
    </w:rPr>
  </w:style>
  <w:style w:type="paragraph" w:styleId="Heading3">
    <w:name w:val="Heading 3"/>
    <w:basedOn w:val="Normal"/>
    <w:next w:val="Normal"/>
    <w:qFormat/>
    <w:pPr>
      <w:spacing w:after="120" w:before="240"/>
    </w:pPr>
    <w:rPr>
      <w:rFonts w:ascii="Inter" w:cs="Inter" w:eastAsia="Inter" w:hAnsi="Inter"/>
      <w:b/>
      <w:bCs/>
      <w:color w:val="19416C"/>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6a7640a0f90dc3934f67c3c21f9f3a340ffef734.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2026-09-21T20:12:53.829Z</dcterms:created>
  <dcterms:modified xsi:type="dcterms:W3CDTF">2026-09-21T20:12:53.829Z</dcterms:modified>
</cp:coreProperties>
</file>

<file path=docProps/custom.xml><?xml version="1.0" encoding="utf-8"?>
<Properties xmlns="http://schemas.openxmlformats.org/officeDocument/2006/custom-properties" xmlns:vt="http://schemas.openxmlformats.org/officeDocument/2006/docPropsVTypes"/>
</file>