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MCG-POL-012: Cold Chain Management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April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Marcus Chen, CIO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SOP-SC-002, MCG-POL-007, INC-2025-05102, TRN-2025-002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mandates the requirements for maintaining cold chain integrity across MCG's perishable product supply chain, from supplier origin through warehouse storage and last-mile delivery to the customer. Cold chain failures cost MCG over $48M annually in spoilage losses, with the Q3 2025 LATAM corridor alone contributing $2.48M in a single quarter.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Temperature Standards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Transport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Exceedance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 (leafy, berries)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Root vegetables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 (milk, cheese, yogurt)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-22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&gt; -15°C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outside range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Sensitech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Chilled beverages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(EU only)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IoT Monitoring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(FY2026)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Known Issues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significant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+ Sensitech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Fahrenheit data contamination Jul-Sep 2025 (47K readings)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Higher intervals due to data costs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Border crossing connectivity gaps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Africa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Lagos DC: 6-hour daily connectivity blackout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Known Data Quality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CONTAMINATION: Between July and September 2025, Tive sensors in Americas were configured to report in Fahrenheit without a unit indicator. A reading of '41' could mean 41°F (5°C, fine) or 41°C (catastrophic). Approximately 47,000 readings affected. Data remediation in progress. All sensors reconfigured to Celsius as of October 2025.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Daily 6-hour internet blackout (typically 11:00-17:00 WAT). Sensors buffer locally and upload when connectivity resumes. Temperature exceedances may go undetected for up to 6 hours. Manual checks every 30 minutes required during blackout. Satellite backup (Starlink) budgeted for Q2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Carrier Requirements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carriers transporting MCG temperature-sensitive products must: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Pre-cool transport units to 0°C BEFORE loading (tightened from 2°C after TransFrio incident). Reefer must show target temp for 15 minutes before doors open.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Maintain continuous temperature logging throughout transport.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Share real-time telemetry with MCG (API preferred; SFTP daily file minimum).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 turn off refrigeration during rest stops, refueling, or border waits. Carriers on routes with extended border crossings must have auxiliary power units (APUs).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Report any temperature exceedance to MCG within 1 hour of detection.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Reference: INC-2025-05102 (TransFrio LATAM spoilage) — $2.48M losses from carrier refrigeration gap and border crossing delays.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Product Disposition Decision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Exceedance Duration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15 min, minor (within +2°C)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for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(no thaw detected)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do not accept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thaw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immediate disposal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exceedance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return to supplier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 + Compliance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2022-06-01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2024-09-01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IoT coverage targets; pharmaceutical requirements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2025-04-01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Post-TransFrio: tightened pre-cooling to 0°C; APU requirement; Lagos blackout documentation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2026-09-21T20:12:47.867Z</dcterms:created>
  <dcterms:modified xsi:type="dcterms:W3CDTF">2026-09-21T20:12:47.867Z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