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0D7C8F" w:sz="2" w:space="4"/>
        </w:pBdr>
        <w:spacing w:after="160" w:before="360"/>
      </w:pPr>
      <w:r>
        <w:rPr>
          <w:rFonts w:ascii="Calibri" w:cs="Calibri" w:eastAsia="Calibri" w:hAnsi="Calibri"/>
          <w:b/>
          <w:bCs/>
          <w:color w:val="1B2A4A"/>
          <w:sz w:val="30"/>
          <w:szCs w:val="30"/>
        </w:rPr>
        <w:t xml:space="preserve">MCG-POL-015: Enterprise Data Quality Standards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Policy ID</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MCG-POL-015</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Version</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1.2</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Effective Date</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01 May 2025</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Owner</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Priya Ramanathan, Chief Data Officer</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Approved By</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Marcus Chen, CIO</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Classification</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Internal — All Business Units</w:t>
            </w:r>
          </w:p>
        </w:tc>
      </w:tr>
    </w:tbl>
    <w:p>
      <w:pPr>
        <w:pBdr>
          <w:bottom w:val="single" w:color="0D7C8F" w:sz="2" w:space="4"/>
        </w:pBdr>
        <w:spacing w:after="160" w:before="360"/>
      </w:pPr>
      <w:r>
        <w:rPr>
          <w:rFonts w:ascii="Calibri" w:cs="Calibri" w:eastAsia="Calibri" w:hAnsi="Calibri"/>
          <w:b/>
          <w:bCs/>
          <w:color w:val="1B2A4A"/>
          <w:sz w:val="30"/>
          <w:szCs w:val="30"/>
        </w:rPr>
        <w:t xml:space="preserve">1. Purpose</w:t>
      </w:r>
    </w:p>
    <w:p>
      <w:pPr>
        <w:spacing w:after="120"/>
        <w:jc w:val="left"/>
      </w:pPr>
      <w:r>
        <w:rPr>
          <w:rFonts w:ascii="Calibri" w:cs="Calibri" w:eastAsia="Calibri" w:hAnsi="Calibri"/>
          <w:b w:val="false"/>
          <w:bCs w:val="false"/>
          <w:i w:val="false"/>
          <w:iCs w:val="false"/>
          <w:color w:val="1F2937"/>
          <w:sz w:val="21"/>
          <w:szCs w:val="21"/>
        </w:rPr>
        <w:t xml:space="preserve">This policy establishes enterprise-wide data quality standards for Meridian Commerce Group. MCG's Q3 2025 data health assessment identified $127M in annual losses attributable to data quality issues across seven identified problem areas ('The Seven Data Quality Nightmares'). This policy provides the governance framework to measure, monitor, and improve data quality.</w:t>
      </w:r>
    </w:p>
    <w:p>
      <w:pPr>
        <w:pBdr>
          <w:bottom w:val="single" w:color="0D7C8F" w:sz="2" w:space="4"/>
        </w:pBdr>
        <w:spacing w:after="160" w:before="360"/>
      </w:pPr>
      <w:r>
        <w:rPr>
          <w:rFonts w:ascii="Calibri" w:cs="Calibri" w:eastAsia="Calibri" w:hAnsi="Calibri"/>
          <w:b/>
          <w:bCs/>
          <w:color w:val="1B2A4A"/>
          <w:sz w:val="30"/>
          <w:szCs w:val="30"/>
        </w:rPr>
        <w:t xml:space="preserve">2. Six Dimensions of Data Quality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Dimension</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Definition</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Measurement Method</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Current</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Target</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Gap</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Completeness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Required fields are populated with non-null values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 of mandatory fields populated across CDEs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82%</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98%</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-16%</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Accuracy</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Values match real-world truth (verified by physical audit or external source)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Sample audit against physical counts, address validation services, supplier registers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74%</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97%</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-23%</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Timeliness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Data is available within the required time window after the real-world event</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Latency between real event and system record; pipeline freshness checks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68%</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95%</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-27%</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Consistency</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Same fact is represented the same way across all systems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Cross-system matching rate for CDEs (e.g., inventory in WMS vs SAP)</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61%</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95%</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-34%</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Uniqueness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No unintended duplicate records for the same real-world entity</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Duplicate detection rate using fuzzy matching (supplier names, customer addresses)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79%</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99%</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-20%</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Validity</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Values conform to defined business rules and acceptable ranges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Business rule pass rate (e.g., temperatures within bounds, quantities non-negative)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77%</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98%</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-21%</w:t>
            </w:r>
          </w:p>
        </w:tc>
      </w:tr>
    </w:tbl>
    <w:p>
      <w:pPr>
        <w:pBdr>
          <w:bottom w:val="single" w:color="0D7C8F" w:sz="2" w:space="4"/>
        </w:pBdr>
        <w:spacing w:after="160" w:before="360"/>
      </w:pPr>
      <w:r>
        <w:rPr>
          <w:rFonts w:ascii="Calibri" w:cs="Calibri" w:eastAsia="Calibri" w:hAnsi="Calibri"/>
          <w:b/>
          <w:bCs/>
          <w:color w:val="1B2A4A"/>
          <w:sz w:val="30"/>
          <w:szCs w:val="30"/>
        </w:rPr>
        <w:t xml:space="preserve">3. Critical Data Elements (CDEs)</w:t>
      </w:r>
    </w:p>
    <w:p>
      <w:pPr>
        <w:spacing w:after="120"/>
        <w:jc w:val="left"/>
      </w:pPr>
      <w:r>
        <w:rPr>
          <w:rFonts w:ascii="Calibri" w:cs="Calibri" w:eastAsia="Calibri" w:hAnsi="Calibri"/>
          <w:b w:val="false"/>
          <w:bCs w:val="false"/>
          <w:i w:val="false"/>
          <w:iCs w:val="false"/>
          <w:color w:val="1F2937"/>
          <w:sz w:val="21"/>
          <w:szCs w:val="21"/>
        </w:rPr>
        <w:t xml:space="preserve">The following CDEs are prioritized for quality improvement based on financial impact: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CDE</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Score</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Target</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Nightmare</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Annual Impact</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Domain Owner</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Inventory position accuracy</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74%</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97%</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 Phantom Inventory</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$48.0M</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VP Warehouse Ops</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Carrier tracking completeness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58%</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95%</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#6 Carrier Black Hole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$14.8M</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VP Supply Chain</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Pipeline health/freshness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None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99.5% uptime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#4 Silent Pipelines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$12.0M</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CIO</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Product weight/dimensions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71%</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99%</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#3 Product Master</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$8.2M</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Head of Procurement</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Timestamp timezone consistency</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64%</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100%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#5 Timestamp Babel</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$6.5M</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CIO</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Lot-level traceability</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85%</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100%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#7 Compliance Gap</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$4.2M</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CCO</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Address deliverability</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82%</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98%</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#2 Address Catastrophe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$3.1M</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Head of E-Commerce</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Supplier identity (dedup)</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76%</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99%</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#3 Product Master</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Included above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Head of Procurement</w:t>
            </w:r>
          </w:p>
        </w:tc>
      </w:tr>
    </w:tbl>
    <w:p>
      <w:pPr>
        <w:spacing w:after="80"/>
      </w:pPr>
      <w:r>
        <w:rPr>
          <w:rFonts w:ascii="Calibri" w:cs="Calibri" w:eastAsia="Calibri" w:hAnsi="Calibri"/>
          <w:b/>
          <w:bCs/>
          <w:color w:val="1B2A4A"/>
          <w:sz w:val="21"/>
          <w:szCs w:val="21"/>
        </w:rPr>
        <w:t xml:space="preserve">Total Annual Impact from Data Quality Issues: </w:t>
      </w:r>
      <w:r>
        <w:rPr>
          <w:rFonts w:ascii="Calibri" w:cs="Calibri" w:eastAsia="Calibri" w:hAnsi="Calibri"/>
          <w:color w:val="1F2937"/>
          <w:sz w:val="21"/>
          <w:szCs w:val="21"/>
        </w:rPr>
        <w:t xml:space="preserve">$127M (conservative, directly attributable costs only)</w:t>
      </w:r>
    </w:p>
    <w:p>
      <w:pPr>
        <w:pBdr>
          <w:bottom w:val="single" w:color="0D7C8F" w:sz="2" w:space="4"/>
        </w:pBdr>
        <w:spacing w:after="160" w:before="360"/>
      </w:pPr>
      <w:r>
        <w:rPr>
          <w:rFonts w:ascii="Calibri" w:cs="Calibri" w:eastAsia="Calibri" w:hAnsi="Calibri"/>
          <w:b/>
          <w:bCs/>
          <w:color w:val="1B2A4A"/>
          <w:sz w:val="30"/>
          <w:szCs w:val="30"/>
        </w:rPr>
        <w:t xml:space="preserve">4. Current State: No Enterprise Monitoring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1B2A4A" w:val="solid"/>
          </w:tcPr>
          <w:p>
            <w:pPr>
              <w:spacing w:after="0"/>
            </w:pPr>
            <w:r>
              <w:rPr>
                <w:sz w:val="10"/>
                <w:szCs w:val="10"/>
              </w:rPr>
              <w:t xml:space="preserve"> </w:t>
            </w:r>
          </w:p>
        </w:tc>
        <w:tc>
          <w:tcPr>
            <w:tcW w:type="pct" w:w="99%"/>
            <w:shd w:color="F2F4F7" w:val="solid"/>
            <w:tcMar>
              <w:top w:type="dxa" w:w="80"/>
              <w:left w:type="dxa" w:w="120"/>
              <w:bottom w:type="dxa" w:w="80"/>
              <w:right w:type="dxa" w:w="120"/>
            </w:tcMar>
          </w:tcPr>
          <w:p>
            <w:pPr>
              <w:spacing w:after="0"/>
            </w:pPr>
            <w:r>
              <w:rPr>
                <w:rFonts w:ascii="Calibri" w:cs="Calibri" w:eastAsia="Calibri" w:hAnsi="Calibri"/>
                <w:color w:val="1F2937"/>
                <w:sz w:val="20"/>
                <w:szCs w:val="20"/>
              </w:rPr>
              <w:t xml:space="preserve">MCG currently has NO automated enterprise-wide data quality monitoring. Data quality is measured through periodic manual assessments, cycle count results, and incident-driven investigations. The Rotterdam pipeline failure (INC-2025-04872) went undetected for 4.3 days because no system monitors data freshness or pipeline health.</w:t>
            </w:r>
          </w:p>
        </w:tc>
      </w:tr>
    </w:tbl>
    <w:p>
      <w:pPr>
        <w:spacing w:after="120"/>
        <w:jc w:val="left"/>
      </w:pPr>
      <w:r>
        <w:rPr>
          <w:rFonts w:ascii="Calibri" w:cs="Calibri" w:eastAsia="Calibri" w:hAnsi="Calibri"/>
          <w:b w:val="false"/>
          <w:bCs w:val="false"/>
          <w:i w:val="false"/>
          <w:iCs w:val="false"/>
          <w:color w:val="1F2937"/>
          <w:sz w:val="21"/>
          <w:szCs w:val="21"/>
        </w:rPr>
        <w:t xml:space="preserve">Planned state under Project Qlarity Phase 2:</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Automated data profiling on all source systems at ingestion (Qlik Talend Cloud)</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Real-time data quality dashboards with Trust Score trending (Qlik Analytics)</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Automated alerting when quality thresholds are breached</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Data stewardship workflows for issue resolution with SLA tracking</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Trust Score for AI to validate data suitability for ML/AI models</w:t>
      </w:r>
    </w:p>
    <w:p>
      <w:pPr>
        <w:pBdr>
          <w:bottom w:val="single" w:color="0D7C8F" w:sz="2" w:space="4"/>
        </w:pBdr>
        <w:spacing w:after="160" w:before="360"/>
      </w:pPr>
      <w:r>
        <w:rPr>
          <w:rFonts w:ascii="Calibri" w:cs="Calibri" w:eastAsia="Calibri" w:hAnsi="Calibri"/>
          <w:b/>
          <w:bCs/>
          <w:color w:val="1B2A4A"/>
          <w:sz w:val="30"/>
          <w:szCs w:val="30"/>
        </w:rPr>
        <w:t xml:space="preserve">5. Accountability Framework</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Role</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Responsibility</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Reporting</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Chief Data Officer</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Enterprise data quality strategy; policy ownership; Project Qlarity sponsorship</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Quarterly to CEO and Board</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Data Domain Owners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Quality targets and improvement plans for their domain CDEs; root cause resolution</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Monthly to CDO</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Data Stewards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Day-to-day quality issue investigation and resolution; stewardship task completion</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Weekly to Domain Owner</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IT Operations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Pipeline monitoring and alerting; infrastructure for data quality tools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Real-time dashboards</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Business Unit Heads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Reporting data quality issues; adopting data quality processes; funding remediation</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Quarterly to CDO</w:t>
            </w:r>
          </w:p>
        </w:tc>
      </w:tr>
    </w:tbl>
    <w:p>
      <w:pPr>
        <w:pBdr>
          <w:bottom w:val="single" w:color="0D7C8F" w:sz="2" w:space="4"/>
        </w:pBdr>
        <w:spacing w:after="160" w:before="360"/>
      </w:pPr>
      <w:r>
        <w:rPr>
          <w:rFonts w:ascii="Calibri" w:cs="Calibri" w:eastAsia="Calibri" w:hAnsi="Calibri"/>
          <w:b/>
          <w:bCs/>
          <w:color w:val="1B2A4A"/>
          <w:sz w:val="30"/>
          <w:szCs w:val="30"/>
        </w:rPr>
        <w:t xml:space="preserve">6. Data Quality Incident Classification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Severity</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Definition</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Example</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Response SLA</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Critical</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Data issue causing regulatory risk, financial loss &gt; $100K, or customer safety impact</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Pipeline failure creating phantom inventory; lot number missing for food recall</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Immediate escalation to CDO</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Major</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Data issue affecting operational decisions or causing financial loss $10K-$100K</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Carrier tracking data gap affecting 1000+ shipments; address quality causing delivery failures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Resolution within 48 hours</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Minor</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Data issue with limited operational impact or financial loss &lt; $10K</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Duplicate supplier record; inconsistent product category mapping</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Resolution within 5 business days</w:t>
            </w:r>
          </w:p>
        </w:tc>
      </w:tr>
    </w:tbl>
    <w:p>
      <w:pPr>
        <w:pBdr>
          <w:bottom w:val="single" w:color="0D7C8F" w:sz="2" w:space="4"/>
        </w:pBdr>
        <w:spacing w:after="160" w:before="360"/>
      </w:pPr>
      <w:r>
        <w:rPr>
          <w:rFonts w:ascii="Calibri" w:cs="Calibri" w:eastAsia="Calibri" w:hAnsi="Calibri"/>
          <w:b/>
          <w:bCs/>
          <w:color w:val="1B2A4A"/>
          <w:sz w:val="30"/>
          <w:szCs w:val="30"/>
        </w:rPr>
        <w:t xml:space="preserve">7. Revision History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Version</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Date</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Author</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Changes</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2025-01-15</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P. Ramanathan</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Initial release following Q3 2025 data health assessment</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1.2</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2025-05-01</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P. Ramanathan</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Added CDE table with financial impact; incident classification; accountability framework</w:t>
            </w:r>
          </w:p>
        </w:tc>
      </w:tr>
    </w:tbl>
    <w:p>
      <w:pPr>
        <w:spacing w:after="0" w:before="400"/>
      </w:pPr>
    </w:p>
    <w:p>
      <w:pPr>
        <w:pBdr>
          <w:bottom w:val="single" w:color="6B7280" w:sz="1" w:space="1"/>
        </w:pBdr>
        <w:spacing w:after="0"/>
      </w:pPr>
      <w:r>
        <w:rPr>
          <w:sz w:val="20"/>
          <w:szCs w:val="20"/>
        </w:rPr>
        <w:t xml:space="preserve">                                                          </w:t>
      </w:r>
    </w:p>
    <w:p>
      <w:pPr>
        <w:spacing w:after="0"/>
      </w:pPr>
      <w:r>
        <w:rPr>
          <w:rFonts w:ascii="Calibri" w:cs="Calibri" w:eastAsia="Calibri" w:hAnsi="Calibri"/>
          <w:b/>
          <w:bCs/>
          <w:color w:val="1B2A4A"/>
          <w:sz w:val="20"/>
          <w:szCs w:val="20"/>
        </w:rPr>
        <w:t xml:space="preserve">Priya Ramanathan</w:t>
      </w:r>
    </w:p>
    <w:p>
      <w:pPr>
        <w:spacing w:after="0"/>
      </w:pPr>
      <w:r>
        <w:rPr>
          <w:rFonts w:ascii="Calibri" w:cs="Calibri" w:eastAsia="Calibri" w:hAnsi="Calibri"/>
          <w:color w:val="6B7280"/>
          <w:sz w:val="19"/>
          <w:szCs w:val="19"/>
        </w:rPr>
        <w:t xml:space="preserve">Chief Data Officer</w:t>
      </w:r>
    </w:p>
    <w:p>
      <w:pPr>
        <w:spacing w:after="0"/>
      </w:pPr>
      <w:r>
        <w:rPr>
          <w:rFonts w:ascii="Calibri" w:cs="Calibri" w:eastAsia="Calibri" w:hAnsi="Calibri"/>
          <w:i/>
          <w:iCs/>
          <w:color w:val="6B7280"/>
          <w:sz w:val="19"/>
          <w:szCs w:val="19"/>
        </w:rPr>
        <w:t xml:space="preserve">Data &amp; Analytics Division</w:t>
      </w:r>
    </w:p>
    <w:sectPr>
      <w:headerReference w:type="default" r:id="rId7"/>
      <w:footerReference w:type="default" r:id="rId8"/>
      <w:pgSz w:w="11906" w:h="16838" w:orient="portrait"/>
      <w:pgMar w:top="1727" w:right="1440" w:bottom="1152"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0D7C8F" w:sz="3" w:space="4"/>
      </w:pBdr>
      <w:spacing w:before="0"/>
    </w:pPr>
    <w:r>
      <w:rPr>
        <w:sz w:val="4"/>
        <w:szCs w:val="4"/>
      </w:rPr>
      <w:t xml:space="preserve"/>
    </w:r>
  </w:p>
  <w:p>
    <w:pPr>
      <w:spacing w:after="0" w:before="0"/>
      <w:jc w:val="center"/>
    </w:pPr>
    <w:r>
      <w:rPr>
        <w:rFonts w:ascii="Calibri" w:cs="Calibri" w:eastAsia="Calibri" w:hAnsi="Calibri"/>
        <w:color w:val="6B7280"/>
        <w:sz w:val="14"/>
        <w:szCs w:val="14"/>
      </w:rPr>
      <w:t xml:space="preserve">Meridian Commerce Group  •  </w:t>
    </w:r>
    <w:r>
      <w:rPr>
        <w:rFonts w:ascii="Calibri" w:cs="Calibri" w:eastAsia="Calibri" w:hAnsi="Calibri"/>
        <w:color w:val="6B7280"/>
        <w:sz w:val="14"/>
        <w:szCs w:val="14"/>
      </w:rPr>
      <w:t xml:space="preserve">Weena 505, 3013 AL Rotterdam, Netherlands</w:t>
    </w:r>
  </w:p>
  <w:p>
    <w:pPr>
      <w:spacing w:after="0" w:before="0"/>
      <w:jc w:val="center"/>
    </w:pPr>
    <w:r>
      <w:rPr>
        <w:rFonts w:ascii="Calibri" w:cs="Calibri" w:eastAsia="Calibri" w:hAnsi="Calibri"/>
        <w:color w:val="6B7280"/>
        <w:sz w:val="14"/>
        <w:szCs w:val="14"/>
      </w:rPr>
      <w:t xml:space="preserve">+31 10 798 4000  •  www.meridiancommerce.com  •  info@meridiancommerce.com</w:t>
    </w:r>
  </w:p>
  <w:p>
    <w:pPr>
      <w:spacing w:after="0" w:before="40"/>
      <w:jc w:val="center"/>
    </w:pPr>
    <w:r>
      <w:rPr>
        <w:rFonts w:ascii="Calibri" w:cs="Calibri" w:eastAsia="Calibri" w:hAnsi="Calibri"/>
        <w:b/>
        <w:bCs/>
        <w:color w:val="C4922E"/>
        <w:sz w:val="13"/>
        <w:szCs w:val="13"/>
      </w:rPr>
      <w:t xml:space="preserve">CONFIDENTIAL — </w:t>
    </w:r>
    <w:r>
      <w:rPr>
        <w:rFonts w:ascii="Calibri" w:cs="Calibri" w:eastAsia="Calibri" w:hAnsi="Calibri"/>
        <w:color w:val="6B7280"/>
        <w:sz w:val="13"/>
        <w:szCs w:val="13"/>
      </w:rPr>
      <w:t xml:space="preserve">Page </w:t>
    </w:r>
    <w:r>
      <w:rPr>
        <w:rFonts w:ascii="Calibri" w:cs="Calibri" w:eastAsia="Calibri" w:hAnsi="Calibri"/>
        <w:color w:val="6B7280"/>
        <w:sz w:val="13"/>
        <w:szCs w:val="13"/>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pPr>
    <w:r>
      <w:rPr>
        <w:rFonts w:ascii="Calibri" w:cs="Calibri" w:eastAsia="Calibri" w:hAnsi="Calibri"/>
        <w:b/>
        <w:bCs/>
        <w:color w:val="1B2A4A"/>
        <w:sz w:val="28"/>
        <w:szCs w:val="28"/>
      </w:rPr>
      <w:t xml:space="preserve">MERIDIAN</w:t>
    </w:r>
    <w:r>
      <w:rPr>
        <w:rFonts w:ascii="Calibri" w:cs="Calibri" w:eastAsia="Calibri" w:hAnsi="Calibri"/>
        <w:b w:val="false"/>
        <w:bCs w:val="false"/>
        <w:color w:val="1B2A4A"/>
        <w:sz w:val="28"/>
        <w:szCs w:val="28"/>
      </w:rPr>
      <w:t xml:space="preserve"> COMMERCE </w:t>
    </w:r>
    <w:r>
      <w:rPr>
        <w:rFonts w:ascii="Calibri" w:cs="Calibri" w:eastAsia="Calibri" w:hAnsi="Calibri"/>
        <w:b/>
        <w:bCs/>
        <w:color w:val="0D7C8F"/>
        <w:sz w:val="28"/>
        <w:szCs w:val="28"/>
      </w:rPr>
      <w:t xml:space="preserve">GROUP</w:t>
    </w:r>
  </w:p>
  <w:p>
    <w:pPr>
      <w:spacing w:after="0"/>
    </w:pPr>
    <w:r>
      <w:rPr>
        <w:rFonts w:ascii="Calibri" w:cs="Calibri" w:eastAsia="Calibri" w:hAnsi="Calibri"/>
        <w:i/>
        <w:iCs/>
        <w:color w:val="6B7280"/>
        <w:sz w:val="16"/>
        <w:szCs w:val="16"/>
      </w:rPr>
      <w:t xml:space="preserve">The neighborhood store with global reach</w:t>
    </w:r>
  </w:p>
  <w:p>
    <w:pPr>
      <w:pBdr>
        <w:bottom w:val="single" w:color="0D7C8F" w:sz="6" w:space="4"/>
      </w:pBdr>
      <w:spacing w:after="0"/>
    </w:pPr>
    <w:r>
      <w:rPr>
        <w:sz w:val="4"/>
        <w:szCs w:val="4"/>
      </w:rPr>
      <w:t xml:space="preserve"/>
    </w:r>
  </w:p>
  <w:p>
    <w:pPr>
      <w:spacing w:after="0" w:before="60"/>
      <w:jc w:val="right"/>
    </w:pPr>
    <w:r>
      <w:rPr>
        <w:rFonts w:ascii="Calibri" w:cs="Calibri" w:eastAsia="Calibri" w:hAnsi="Calibri"/>
        <w:b/>
        <w:bCs/>
        <w:caps/>
        <w:color w:val="C4922E"/>
        <w:sz w:val="18"/>
        <w:szCs w:val="18"/>
      </w:rPr>
      <w:t xml:space="preserve">CORPORATE POLICY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937"/>
        <w:sz w:val="22"/>
        <w:szCs w:val="22"/>
      </w:rPr>
    </w:rPrDefault>
    <w:pPrDefault>
      <w:pPr>
        <w:spacing w:after="12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200" w:before="360"/>
    </w:pPr>
    <w:rPr>
      <w:rFonts w:ascii="Calibri" w:cs="Calibri" w:eastAsia="Calibri" w:hAnsi="Calibri"/>
      <w:b/>
      <w:bCs/>
      <w:color w:val="1B2A4A"/>
      <w:sz w:val="32"/>
      <w:szCs w:val="32"/>
    </w:rPr>
  </w:style>
  <w:style w:type="paragraph" w:styleId="Heading2">
    <w:name w:val="Heading 2"/>
    <w:basedOn w:val="Normal"/>
    <w:next w:val="Normal"/>
    <w:qFormat/>
    <w:pPr>
      <w:spacing w:after="160" w:before="300"/>
    </w:pPr>
    <w:rPr>
      <w:rFonts w:ascii="Calibri" w:cs="Calibri" w:eastAsia="Calibri" w:hAnsi="Calibri"/>
      <w:b/>
      <w:bCs/>
      <w:color w:val="0D7C8F"/>
      <w:sz w:val="26"/>
      <w:szCs w:val="26"/>
    </w:rPr>
  </w:style>
  <w:style w:type="paragraph" w:styleId="Heading3">
    <w:name w:val="Heading 3"/>
    <w:basedOn w:val="Normal"/>
    <w:next w:val="Normal"/>
    <w:qFormat/>
    <w:pPr>
      <w:spacing w:after="120" w:before="240"/>
    </w:pPr>
    <w:rPr>
      <w:rFonts w:ascii="Calibri" w:cs="Calibri" w:eastAsia="Calibri" w:hAnsi="Calibri"/>
      <w:b/>
      <w:bCs/>
      <w:color w:val="1B2A4A"/>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2026-09-21T20:12:47.930Z</dcterms:created>
  <dcterms:modified xsi:type="dcterms:W3CDTF">2026-09-21T20:12:47.930Z</dcterms:modified>
</cp:coreProperties>
</file>

<file path=docProps/custom.xml><?xml version="1.0" encoding="utf-8"?>
<Properties xmlns="http://schemas.openxmlformats.org/officeDocument/2006/custom-properties" xmlns:vt="http://schemas.openxmlformats.org/officeDocument/2006/docPropsVTypes"/>
</file>