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D7C8F" w:sz="2" w:space="4"/>
        </w:pBdr>
        <w:spacing w:after="160" w:before="360"/>
      </w:pPr>
      <w:r>
        <w:rPr>
          <w:rFonts w:ascii="Calibri" w:cs="Calibri" w:eastAsia="Calibri" w:hAnsi="Calibri"/>
          <w:b/>
          <w:bCs/>
          <w:color w:val="1B2A4A"/>
          <w:sz w:val="30"/>
          <w:szCs w:val="30"/>
        </w:rPr>
        <w:t xml:space="preserve">MCG-POL-020: E-Commerce Shipping and Delivery Promise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Policy ID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MCG-POL-020</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Version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2.1</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Effective Date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20 October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Owner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Lisa Park, Head of Customer Experience</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Approved By</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Thomas Brennan, VP Supply Chain</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Applies To</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meridiancommerce.com — All Markets</w:t>
            </w:r>
          </w:p>
        </w:tc>
      </w:tr>
    </w:tbl>
    <w:p>
      <w:pPr>
        <w:pBdr>
          <w:bottom w:val="single" w:color="0D7C8F" w:sz="2" w:space="4"/>
        </w:pBdr>
        <w:spacing w:after="160" w:before="360"/>
      </w:pPr>
      <w:r>
        <w:rPr>
          <w:rFonts w:ascii="Calibri" w:cs="Calibri" w:eastAsia="Calibri" w:hAnsi="Calibri"/>
          <w:b/>
          <w:bCs/>
          <w:color w:val="1B2A4A"/>
          <w:sz w:val="30"/>
          <w:szCs w:val="30"/>
        </w:rPr>
        <w:t xml:space="preserve">1. Purpose</w:t>
      </w:r>
    </w:p>
    <w:p>
      <w:pPr>
        <w:spacing w:after="120"/>
        <w:jc w:val="left"/>
      </w:pPr>
      <w:r>
        <w:rPr>
          <w:rFonts w:ascii="Calibri" w:cs="Calibri" w:eastAsia="Calibri" w:hAnsi="Calibri"/>
          <w:b w:val="false"/>
          <w:bCs w:val="false"/>
          <w:i w:val="false"/>
          <w:iCs w:val="false"/>
          <w:color w:val="1F2937"/>
          <w:sz w:val="21"/>
          <w:szCs w:val="21"/>
        </w:rPr>
        <w:t xml:space="preserve">This policy defines the delivery promises displayed to customers at checkout on meridiancommerce.com. Delivery promises must be achievable based on actual carrier SLAs and must be updated promptly when carrier contracts change.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LESSON LEARNED: The NinjaVan AMD3 contract amendment (effective 01 October 2025) changed Singapore 5-10 kg delivery from 2-day to 3-day. This was NOT reflected on the website for 3+ weeks. During this period, ~14,000 customers per month received false 2-day delivery promises. WISMO contacts in Singapore spiked to 52% of all CS volume (vs 41% global average). This policy now includes mandatory change management procedures to prevent recurrence.</w:t>
            </w:r>
          </w:p>
        </w:tc>
      </w:tr>
    </w:tbl>
    <w:p>
      <w:pPr>
        <w:pBdr>
          <w:bottom w:val="single" w:color="0D7C8F" w:sz="2" w:space="4"/>
        </w:pBdr>
        <w:spacing w:after="160" w:before="360"/>
      </w:pPr>
      <w:r>
        <w:rPr>
          <w:rFonts w:ascii="Calibri" w:cs="Calibri" w:eastAsia="Calibri" w:hAnsi="Calibri"/>
          <w:b/>
          <w:bCs/>
          <w:color w:val="1B2A4A"/>
          <w:sz w:val="30"/>
          <w:szCs w:val="30"/>
        </w:rPr>
        <w:t xml:space="preserve">2. Delivery Promise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Region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Weight Band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Carrier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Delivery Promise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Actual Carrier SLA</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Match?</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 (NL, DE, BE)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0-20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DPD Classic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2-3 business days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2-3 BD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 (other)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0-20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DPD International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3-7 business days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3-7 BD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Americas (US)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0-10 lb</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FedEx Ground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3-5 business days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3-5 BD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Americas (US)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10-50 lb</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FedEx Ground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5-7 business days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5-7 BD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Singapore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0-5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NinjaVan Express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Next-day delivery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Next-day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Singapore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5-10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NinjaVan Standard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 business days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 BD (changed Oct 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 (fixed Oct 20)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Singapore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10-20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NinjaVan Standard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 business days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 BD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APAC (other)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All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Regional carriers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3-7 business days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Varies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Africa (Lagos)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All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Local carriers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5-10 business days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Highly variable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LATAM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All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Local + TransFrio (cold)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5-10 business days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Varies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r>
    </w:tbl>
    <w:p>
      <w:pPr>
        <w:pBdr>
          <w:bottom w:val="single" w:color="0D7C8F" w:sz="2" w:space="4"/>
        </w:pBdr>
        <w:spacing w:after="160" w:before="360"/>
      </w:pPr>
      <w:r>
        <w:rPr>
          <w:rFonts w:ascii="Calibri" w:cs="Calibri" w:eastAsia="Calibri" w:hAnsi="Calibri"/>
          <w:b/>
          <w:bCs/>
          <w:color w:val="1B2A4A"/>
          <w:sz w:val="30"/>
          <w:szCs w:val="30"/>
        </w:rPr>
        <w:t xml:space="preserve">3. Delivery Promise Accuracy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Region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Q1 2025</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Q2 2025</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Q3 2025</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Target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 (core: NL, DE, BE, FR)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87%</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95%</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 (other)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Americas (US, CA)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95%</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APAC (Singapore)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69% ⚠</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95%</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APAC (other)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79%</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Africa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85%</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LATAM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76%</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85%</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Global weighted average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87%</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82% ⚠</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93%</w:t>
            </w:r>
          </w:p>
        </w:tc>
      </w:tr>
    </w:tbl>
    <w:p>
      <w:pPr>
        <w:pBdr>
          <w:bottom w:val="single" w:color="0D7C8F" w:sz="2" w:space="4"/>
        </w:pBdr>
        <w:spacing w:after="160" w:before="360"/>
      </w:pPr>
      <w:r>
        <w:rPr>
          <w:rFonts w:ascii="Calibri" w:cs="Calibri" w:eastAsia="Calibri" w:hAnsi="Calibri"/>
          <w:b/>
          <w:bCs/>
          <w:color w:val="1B2A4A"/>
          <w:sz w:val="30"/>
          <w:szCs w:val="30"/>
        </w:rPr>
        <w:t xml:space="preserve">4. Carrier SLA Change Management (NEW — October 2025)</w:t>
      </w:r>
    </w:p>
    <w:p>
      <w:pPr>
        <w:spacing w:after="120"/>
        <w:jc w:val="left"/>
      </w:pPr>
      <w:r>
        <w:rPr>
          <w:rFonts w:ascii="Calibri" w:cs="Calibri" w:eastAsia="Calibri" w:hAnsi="Calibri"/>
          <w:b w:val="false"/>
          <w:bCs w:val="false"/>
          <w:i w:val="false"/>
          <w:iCs w:val="false"/>
          <w:color w:val="1F2937"/>
          <w:sz w:val="21"/>
          <w:szCs w:val="21"/>
        </w:rPr>
        <w:t xml:space="preserve">When ANY carrier SLA changes (new contract, amendment, seasonal adjustment, or unilateral carrier change):</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Carrier Management must notify the e-commerce team AND customer service within 24 hours of learning about the change (email to delivery-promise@meridiancommerce.com).</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E-Commerce team must update the delivery promise on the website within 48 hours of notification.</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Customer Service must be briefed with updated scripts and FAQ within 24 hours.</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For orders already placed with the old promise: send proactive email notification to affected customers within 72 hours.</w:t>
      </w:r>
    </w:p>
    <w:p>
      <w:pPr>
        <w:spacing w:after="80"/>
        <w:ind w:left="431"/>
      </w:pPr>
      <w:r>
        <w:rPr>
          <w:rFonts w:ascii="Calibri" w:cs="Calibri" w:eastAsia="Calibri" w:hAnsi="Calibri"/>
          <w:b/>
          <w:bCs/>
          <w:color w:val="0D7C8F"/>
          <w:sz w:val="21"/>
          <w:szCs w:val="21"/>
        </w:rPr>
        <w:t xml:space="preserve">5. </w:t>
      </w:r>
      <w:r>
        <w:rPr>
          <w:rFonts w:ascii="Calibri" w:cs="Calibri" w:eastAsia="Calibri" w:hAnsi="Calibri"/>
          <w:b w:val="false"/>
          <w:bCs w:val="false"/>
          <w:color w:val="1F2937"/>
          <w:sz w:val="21"/>
          <w:szCs w:val="21"/>
        </w:rPr>
        <w:t xml:space="preserve">Monthly audit: Carrier Management must verify all active carrier SLAs match the promises displayed on the website. Audit results reported to VP Supply Chain and Head of Customer Experience.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D7C8F"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These requirements are NEW as of October 2025, instituted after the NinjaVan incident. Previously, there was no formal process for carrier-to-e-commerce SLA change communication.</w:t>
            </w:r>
          </w:p>
        </w:tc>
      </w:tr>
    </w:tbl>
    <w:p>
      <w:pPr>
        <w:pBdr>
          <w:bottom w:val="single" w:color="0D7C8F" w:sz="2" w:space="4"/>
        </w:pBdr>
        <w:spacing w:after="160" w:before="360"/>
      </w:pPr>
      <w:r>
        <w:rPr>
          <w:rFonts w:ascii="Calibri" w:cs="Calibri" w:eastAsia="Calibri" w:hAnsi="Calibri"/>
          <w:b/>
          <w:bCs/>
          <w:color w:val="1B2A4A"/>
          <w:sz w:val="30"/>
          <w:szCs w:val="30"/>
        </w:rPr>
        <w:t xml:space="preserve">5. WISMO Impact</w:t>
      </w:r>
    </w:p>
    <w:p>
      <w:pPr>
        <w:spacing w:after="120"/>
        <w:jc w:val="left"/>
      </w:pPr>
      <w:r>
        <w:rPr>
          <w:rFonts w:ascii="Calibri" w:cs="Calibri" w:eastAsia="Calibri" w:hAnsi="Calibri"/>
          <w:b w:val="false"/>
          <w:bCs w:val="false"/>
          <w:i w:val="false"/>
          <w:iCs w:val="false"/>
          <w:color w:val="1F2937"/>
          <w:sz w:val="21"/>
          <w:szCs w:val="21"/>
        </w:rPr>
        <w:t xml:space="preserve">Delivery promise failures are the primary driver of WISMO contacts: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536,000 WISMO contacts per month (41% of all CS contacts)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Annual cost: $14.8M at $2.30 per contact</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Singapore WISMO rate reached 52% during the NinjaVan promise mismatch period</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Repeat WISMO callers (same order, 2+ calls): 28%, up from 19% in FY2024</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NPS impact: WISMO callers score -18 points below non-callers</w:t>
      </w:r>
    </w:p>
    <w:p>
      <w:pPr>
        <w:pBdr>
          <w:bottom w:val="single" w:color="0D7C8F" w:sz="2" w:space="4"/>
        </w:pBdr>
        <w:spacing w:after="160" w:before="360"/>
      </w:pPr>
      <w:r>
        <w:rPr>
          <w:rFonts w:ascii="Calibri" w:cs="Calibri" w:eastAsia="Calibri" w:hAnsi="Calibri"/>
          <w:b/>
          <w:bCs/>
          <w:color w:val="1B2A4A"/>
          <w:sz w:val="30"/>
          <w:szCs w:val="30"/>
        </w:rPr>
        <w:t xml:space="preserve">6. Promise Failure Compensation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Delay vs Promise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Automatic Compensation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Agent Authority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 days late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Proactive email apology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 discount code for next order</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3-5 days late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Proactive email + discount code sent automatically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Full shipping refund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&gt; 5 days late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Full shipping refund + 15% discount code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Re-ship express at no cost (up to $100)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&gt; 10 days or lost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Full order refund processed automatically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Re-ship + courtesy credit ($25)</w:t>
            </w:r>
          </w:p>
        </w:tc>
      </w:tr>
    </w:tbl>
    <w:p>
      <w:pPr>
        <w:pBdr>
          <w:bottom w:val="single" w:color="0D7C8F" w:sz="2" w:space="4"/>
        </w:pBdr>
        <w:spacing w:after="160" w:before="360"/>
      </w:pPr>
      <w:r>
        <w:rPr>
          <w:rFonts w:ascii="Calibri" w:cs="Calibri" w:eastAsia="Calibri" w:hAnsi="Calibri"/>
          <w:b/>
          <w:bCs/>
          <w:color w:val="1B2A4A"/>
          <w:sz w:val="30"/>
          <w:szCs w:val="30"/>
        </w:rPr>
        <w:t xml:space="preserve">7. Revision History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Version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Date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Author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Changes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2023-06-01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 Park</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Initial release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2025-08-01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 Park</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Added regional delivery matrix; WISMO impact analysis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2025-10-20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 Park</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Singapore 5-10 kg updated after NinjaVan AMD3; added change management section; compensation matrix</w:t>
            </w:r>
          </w:p>
        </w:tc>
      </w:tr>
    </w:tbl>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Lisa Park</w:t>
      </w:r>
    </w:p>
    <w:p>
      <w:pPr>
        <w:spacing w:after="0"/>
      </w:pPr>
      <w:r>
        <w:rPr>
          <w:rFonts w:ascii="Calibri" w:cs="Calibri" w:eastAsia="Calibri" w:hAnsi="Calibri"/>
          <w:color w:val="6B7280"/>
          <w:sz w:val="19"/>
          <w:szCs w:val="19"/>
        </w:rPr>
        <w:t xml:space="preserve">Head of Customer Experience</w:t>
      </w:r>
    </w:p>
    <w:p>
      <w:pPr>
        <w:spacing w:after="0"/>
      </w:pPr>
      <w:r>
        <w:rPr>
          <w:rFonts w:ascii="Calibri" w:cs="Calibri" w:eastAsia="Calibri" w:hAnsi="Calibri"/>
          <w:i/>
          <w:iCs/>
          <w:color w:val="6B7280"/>
          <w:sz w:val="19"/>
          <w:szCs w:val="19"/>
        </w:rPr>
        <w:t xml:space="preserve">Customer Service Division</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C8F" w:sz="3" w:space="4"/>
      </w:pBdr>
      <w:spacing w:before="0"/>
    </w:pPr>
    <w:r>
      <w:rPr>
        <w:sz w:val="4"/>
        <w:szCs w:val="4"/>
      </w:rPr>
      <w:t xml:space="preserve"/>
    </w:r>
  </w:p>
  <w:p>
    <w:pPr>
      <w:spacing w:after="0" w:before="0"/>
      <w:jc w:val="center"/>
    </w:pPr>
    <w:r>
      <w:rPr>
        <w:rFonts w:ascii="Calibri" w:cs="Calibri" w:eastAsia="Calibri" w:hAnsi="Calibri"/>
        <w:color w:val="6B7280"/>
        <w:sz w:val="14"/>
        <w:szCs w:val="14"/>
      </w:rPr>
      <w:t xml:space="preserve">Meridian Commerce Group  •  </w:t>
    </w:r>
    <w:r>
      <w:rPr>
        <w:rFonts w:ascii="Calibri" w:cs="Calibri" w:eastAsia="Calibri" w:hAnsi="Calibri"/>
        <w:color w:val="6B7280"/>
        <w:sz w:val="14"/>
        <w:szCs w:val="14"/>
      </w:rPr>
      <w:t xml:space="preserve">Weena 505, 3013 AL Rotterdam, Netherlands</w:t>
    </w:r>
  </w:p>
  <w:p>
    <w:pPr>
      <w:spacing w:after="0" w:before="0"/>
      <w:jc w:val="center"/>
    </w:pPr>
    <w:r>
      <w:rPr>
        <w:rFonts w:ascii="Calibri" w:cs="Calibri" w:eastAsia="Calibri" w:hAnsi="Calibri"/>
        <w:color w:val="6B7280"/>
        <w:sz w:val="14"/>
        <w:szCs w:val="14"/>
      </w:rPr>
      <w:t xml:space="preserve">+31 10 798 4000  •  www.meridiancommerce.com  •  info@meridiancommerce.com</w:t>
    </w:r>
  </w:p>
  <w:p>
    <w:pPr>
      <w:spacing w:after="0" w:before="40"/>
      <w:jc w:val="center"/>
    </w:pPr>
    <w:r>
      <w:rPr>
        <w:rFonts w:ascii="Calibri" w:cs="Calibri" w:eastAsia="Calibri" w:hAnsi="Calibri"/>
        <w:b/>
        <w:bCs/>
        <w:color w:val="C4922E"/>
        <w:sz w:val="13"/>
        <w:szCs w:val="13"/>
      </w:rPr>
      <w:t xml:space="preserve">CONFIDENTIAL — </w:t>
    </w:r>
    <w:r>
      <w:rPr>
        <w:rFonts w:ascii="Calibri" w:cs="Calibri" w:eastAsia="Calibri" w:hAnsi="Calibri"/>
        <w:color w:val="6B7280"/>
        <w:sz w:val="13"/>
        <w:szCs w:val="13"/>
      </w:rPr>
      <w:t xml:space="preserve">Page </w:t>
    </w:r>
    <w:r>
      <w:rPr>
        <w:rFonts w:ascii="Calibri" w:cs="Calibri" w:eastAsia="Calibri" w:hAnsi="Calibri"/>
        <w:color w:val="6B728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1B2A4A"/>
        <w:sz w:val="28"/>
        <w:szCs w:val="28"/>
      </w:rPr>
      <w:t xml:space="preserve">MERIDIAN</w:t>
    </w:r>
    <w:r>
      <w:rPr>
        <w:rFonts w:ascii="Calibri" w:cs="Calibri" w:eastAsia="Calibri" w:hAnsi="Calibri"/>
        <w:b w:val="false"/>
        <w:bCs w:val="false"/>
        <w:color w:val="1B2A4A"/>
        <w:sz w:val="28"/>
        <w:szCs w:val="28"/>
      </w:rPr>
      <w:t xml:space="preserve"> COMMERCE </w:t>
    </w:r>
    <w:r>
      <w:rPr>
        <w:rFonts w:ascii="Calibri" w:cs="Calibri" w:eastAsia="Calibri" w:hAnsi="Calibri"/>
        <w:b/>
        <w:bCs/>
        <w:color w:val="0D7C8F"/>
        <w:sz w:val="28"/>
        <w:szCs w:val="28"/>
      </w:rPr>
      <w:t xml:space="preserve">GROUP</w:t>
    </w:r>
  </w:p>
  <w:p>
    <w:pPr>
      <w:spacing w:after="0"/>
    </w:pPr>
    <w:r>
      <w:rPr>
        <w:rFonts w:ascii="Calibri" w:cs="Calibri" w:eastAsia="Calibri" w:hAnsi="Calibri"/>
        <w:i/>
        <w:iCs/>
        <w:color w:val="6B7280"/>
        <w:sz w:val="16"/>
        <w:szCs w:val="16"/>
      </w:rPr>
      <w:t xml:space="preserve">The neighborhood store with global reach</w:t>
    </w:r>
  </w:p>
  <w:p>
    <w:pPr>
      <w:pBdr>
        <w:bottom w:val="single" w:color="0D7C8F" w:sz="6" w:space="4"/>
      </w:pBdr>
      <w:spacing w:after="0"/>
    </w:pPr>
    <w:r>
      <w:rPr>
        <w:sz w:val="4"/>
        <w:szCs w:val="4"/>
      </w:rPr>
      <w:t xml:space="preserve"/>
    </w:r>
  </w:p>
  <w:p>
    <w:pPr>
      <w:spacing w:after="0" w:before="60"/>
      <w:jc w:val="right"/>
    </w:pPr>
    <w:r>
      <w:rPr>
        <w:rFonts w:ascii="Calibri" w:cs="Calibri" w:eastAsia="Calibri" w:hAnsi="Calibri"/>
        <w:b/>
        <w:bCs/>
        <w:caps/>
        <w:color w:val="C4922E"/>
        <w:sz w:val="18"/>
        <w:szCs w:val="18"/>
      </w:rPr>
      <w:t xml:space="preserve">CORPORATE POLICY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B2A4A"/>
      <w:sz w:val="32"/>
      <w:szCs w:val="32"/>
    </w:rPr>
  </w:style>
  <w:style w:type="paragraph" w:styleId="Heading2">
    <w:name w:val="Heading 2"/>
    <w:basedOn w:val="Normal"/>
    <w:next w:val="Normal"/>
    <w:qFormat/>
    <w:pPr>
      <w:spacing w:after="160" w:before="300"/>
    </w:pPr>
    <w:rPr>
      <w:rFonts w:ascii="Calibri" w:cs="Calibri" w:eastAsia="Calibri" w:hAnsi="Calibri"/>
      <w:b/>
      <w:bCs/>
      <w:color w:val="0D7C8F"/>
      <w:sz w:val="26"/>
      <w:szCs w:val="26"/>
    </w:rPr>
  </w:style>
  <w:style w:type="paragraph" w:styleId="Heading3">
    <w:name w:val="Heading 3"/>
    <w:basedOn w:val="Normal"/>
    <w:next w:val="Normal"/>
    <w:qFormat/>
    <w:pPr>
      <w:spacing w:after="12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2026-09-21T20:12:47.987Z</dcterms:created>
  <dcterms:modified xsi:type="dcterms:W3CDTF">2026-09-21T20:12:47.987Z</dcterms:modified>
</cp:coreProperties>
</file>

<file path=docProps/custom.xml><?xml version="1.0" encoding="utf-8"?>
<Properties xmlns="http://schemas.openxmlformats.org/officeDocument/2006/custom-properties" xmlns:vt="http://schemas.openxmlformats.org/officeDocument/2006/docPropsVTypes"/>
</file>