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SOP-WH-002: Inventory Cycle Count Procedure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March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February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Henrik Jansen, VP Warehouse Operations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Anke de Vries, Senior Inventory Control Analyst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Warehouse Operations &amp; Inventory Control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Applies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All MCG Distribution Centers and Fulfillment Hubs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Supersedes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SOP-WH-002 v2.3 (01 November 2024)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WMS Cycle Count Module; SOP-WH-002 Annual Refresher</w:t>
            </w:r>
          </w:p>
        </w:tc>
      </w:tr>
    </w:tbl>
    <w:p>
      <w:pPr>
        <w:pBdr>
          <w:bottom w:val="single" w:color="0D7C8F" w:sz="2" w:space="4"/>
        </w:pBdr>
        <w:spacing w:after="160" w:before="360"/>
      </w:pPr>
      <w:r>
        <w:rPr>
          <w:rFonts w:ascii="Calibri" w:cs="Calibri" w:eastAsia="Calibri" w:hAnsi="Calibri"/>
          <w:b/>
          <w:bCs/>
          <w:color w:val="1B2A4A"/>
          <w:sz w:val="30"/>
          <w:szCs w:val="30"/>
        </w:rPr>
        <w:t xml:space="preserve">1. Purpose and Business Context</w:t>
      </w:r>
    </w:p>
    <w:p>
      <w:pPr>
        <w:spacing w:after="120"/>
        <w:jc w:val="left"/>
      </w:pPr>
      <w:r>
        <w:rPr>
          <w:rFonts w:ascii="Calibri" w:cs="Calibri" w:eastAsia="Calibri" w:hAnsi="Calibri"/>
          <w:b w:val="false"/>
          <w:bCs w:val="false"/>
          <w:i w:val="false"/>
          <w:iCs w:val="false"/>
          <w:color w:val="1F2937"/>
          <w:sz w:val="21"/>
          <w:szCs w:val="21"/>
        </w:rPr>
        <w:t xml:space="preserve">This procedure establishes the standard process for conducting inventory cycle counts across all MCG distribution centers. Regular cycle counting is essential for maintaining inventory record accuracy (IRA) and identifying discrepancies before they impact customer orders, store replenishment, and financial reporting.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CONTEXT: MCG's enterprise Inventory Record Accuracy (IRA) stands at 74% — critically below the 97% target and well below the industry benchmark of 95%. This 23-percentage-point gap translates to approximately $48M in annual losses from phantom inventory, misallocated stock, emergency transfers, store stockouts on products showing as 'available' in SAP, and customer order cancellations. Cycle count compliance and accuracy are the primary operational levers for improving IRA while the enterprise invests in systemic fixes through Project Qlarity.</w:t>
            </w:r>
          </w:p>
        </w:tc>
      </w:tr>
    </w:tbl>
    <w:p>
      <w:pPr>
        <w:spacing w:after="120"/>
        <w:jc w:val="left"/>
      </w:pPr>
      <w:r>
        <w:rPr>
          <w:rFonts w:ascii="Calibri" w:cs="Calibri" w:eastAsia="Calibri" w:hAnsi="Calibri"/>
          <w:b w:val="false"/>
          <w:bCs w:val="false"/>
          <w:i w:val="false"/>
          <w:iCs w:val="false"/>
          <w:color w:val="1F2937"/>
          <w:sz w:val="21"/>
          <w:szCs w:val="21"/>
        </w:rPr>
        <w:t xml:space="preserve">Key business impacts of low IRA:</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Store replenishment orders are allocated against inventory that doesn't physically exist ('phantom inventory'), resulting in store stockouts with no ERP visibility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E-commerce orders are accepted and confirmed for products that are not in stock, leading to cancellations, refunds, and WISMO contacts ($14.8M/year in WISMO costs)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Financial inventory valuations are overstated, creating audit risk and inaccurate carrying cost forecasts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Safety stock calculations are unreliable, leading to either excess stock (carrying cost) or insufficient stock (stockouts)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Q3 2025 board review specifically cited IRA as the #1 data quality issue requiring immediate operational attention</w:t>
      </w:r>
    </w:p>
    <w:p>
      <w:pPr>
        <w:pBdr>
          <w:bottom w:val="single" w:color="0D7C8F" w:sz="2" w:space="4"/>
        </w:pBdr>
        <w:spacing w:after="160" w:before="360"/>
      </w:pPr>
      <w:r>
        <w:rPr>
          <w:rFonts w:ascii="Calibri" w:cs="Calibri" w:eastAsia="Calibri" w:hAnsi="Calibri"/>
          <w:b/>
          <w:bCs/>
          <w:color w:val="1B2A4A"/>
          <w:sz w:val="30"/>
          <w:szCs w:val="30"/>
        </w:rPr>
        <w:t xml:space="preserve">2. Scope</w:t>
      </w:r>
    </w:p>
    <w:p>
      <w:pPr>
        <w:spacing w:after="120"/>
        <w:jc w:val="left"/>
      </w:pPr>
      <w:r>
        <w:rPr>
          <w:rFonts w:ascii="Calibri" w:cs="Calibri" w:eastAsia="Calibri" w:hAnsi="Calibri"/>
          <w:b w:val="false"/>
          <w:bCs w:val="false"/>
          <w:i w:val="false"/>
          <w:iCs w:val="false"/>
          <w:color w:val="1F2937"/>
          <w:sz w:val="21"/>
          <w:szCs w:val="21"/>
        </w:rPr>
        <w:t xml:space="preserve">This procedure applies to all scheduled and ad-hoc cycle counts at MCG distribution centers and fulfillment hubs. It covers: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Scheduled cycle counts (ABC-classified frequency)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Ad-hoc counts triggered by discrepancy investigation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Pre-promotion and post-promotion counts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Regulatory compliance counts (food traceability verification)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Annual wall-to-wall inventory (coordinated across all DCs in January)</w:t>
      </w:r>
    </w:p>
    <w:p>
      <w:pPr>
        <w:spacing w:after="120"/>
        <w:jc w:val="left"/>
      </w:pPr>
      <w:r>
        <w:rPr>
          <w:rFonts w:ascii="Calibri" w:cs="Calibri" w:eastAsia="Calibri" w:hAnsi="Calibri"/>
          <w:b w:val="false"/>
          <w:bCs w:val="false"/>
          <w:i w:val="false"/>
          <w:iCs w:val="false"/>
          <w:color w:val="1F2937"/>
          <w:sz w:val="21"/>
          <w:szCs w:val="21"/>
        </w:rPr>
        <w:t xml:space="preserve">It does NOT cover retail store inventory counts (governed by SOP-ST-007).</w:t>
      </w:r>
    </w:p>
    <w:p>
      <w:pPr>
        <w:pBdr>
          <w:bottom w:val="single" w:color="0D7C8F" w:sz="2" w:space="4"/>
        </w:pBdr>
        <w:spacing w:after="160" w:before="360"/>
      </w:pPr>
      <w:r>
        <w:rPr>
          <w:rFonts w:ascii="Calibri" w:cs="Calibri" w:eastAsia="Calibri" w:hAnsi="Calibri"/>
          <w:b/>
          <w:bCs/>
          <w:color w:val="1B2A4A"/>
          <w:sz w:val="30"/>
          <w:szCs w:val="30"/>
        </w:rPr>
        <w:t xml:space="preserve">3. 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Term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IRA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Record Accuracy: (Number of SKU locations with matching system and physical counts) / (Total SKU locations counted) × 100%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ABC Classification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classification by annual sales velocity and value: A = top 80% of revenue (typically 20% of SKUs); B = next 15% of revenue; C = remaining 5% of revenue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Phantom Inventory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Stock shown in the system (SAP/WMS) that does not physically exist. Primary cause: silent pipeline failures between WMS and SAP (see INC-2025-04872)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Negative Inventory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System shows negative stock quantity — physically impossible. Indicates a transaction sequencing error or unposted receipt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Difference between system (WMS book) quantity and physical count quantity. Expressed in units and/or percentage of book quantity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Sheet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System-generated list of SKU/locations to be counted, with current book quantities hidden from the counter to prevent bias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Blind Count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 method where the counter does NOT see the expected quantity — enters only what they physically count. MCG standard method.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Freeze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Temporary halt to all inventory movements (receipts, picks, transfers) in a specific zone to allow accurate counting. Duration: maximum 4 hours.</w:t>
            </w:r>
          </w:p>
        </w:tc>
      </w:tr>
    </w:tbl>
    <w:p>
      <w:pPr>
        <w:pBdr>
          <w:bottom w:val="single" w:color="0D7C8F" w:sz="2" w:space="4"/>
        </w:pBdr>
        <w:spacing w:after="160" w:before="360"/>
      </w:pPr>
      <w:r>
        <w:rPr>
          <w:rFonts w:ascii="Calibri" w:cs="Calibri" w:eastAsia="Calibri" w:hAnsi="Calibri"/>
          <w:b/>
          <w:bCs/>
          <w:color w:val="1B2A4A"/>
          <w:sz w:val="30"/>
          <w:szCs w:val="30"/>
        </w:rPr>
        <w:t xml:space="preserve">4. Count Frequency and Classification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ABC Class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 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Method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Freeze Required?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Counter Certification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High-value electronics (&gt; €100 unit cost)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blind method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(2-hour window)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2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Perishable / cold chain products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Daily (20% zone sampling per day = full zone per week)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sample, blind method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 (count between picks)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 + cold chain trained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Fast-moving general merchandise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per location, blind method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(2-hour window)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Medium-velocity merchandise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Bi-weekly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Statistical sampling (30% of locations)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Slow-moving / seasonal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Random 10%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Promotional / seasonal displays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 (temporary)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before promo starts; day after promo ends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of promo SKUs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(1-hour window)</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Quarantined / hold stock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of hold zone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(permanent freeze on hold zone)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2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with HAZMAT-certified counter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(during count only)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HAZMAT certified</w:t>
            </w:r>
          </w:p>
        </w:tc>
      </w:tr>
    </w:tbl>
    <w:p>
      <w:pPr>
        <w:pBdr>
          <w:bottom w:val="single" w:color="0D7C8F" w:sz="2" w:space="4"/>
        </w:pBdr>
        <w:spacing w:after="160" w:before="360"/>
      </w:pPr>
      <w:r>
        <w:rPr>
          <w:rFonts w:ascii="Calibri" w:cs="Calibri" w:eastAsia="Calibri" w:hAnsi="Calibri"/>
          <w:b/>
          <w:bCs/>
          <w:color w:val="1B2A4A"/>
          <w:sz w:val="30"/>
          <w:szCs w:val="30"/>
        </w:rPr>
        <w:t xml:space="preserve">5. Counter Certification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Requirements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Authorized Count Types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basic operations certified; SOP-WH-002 training complete; 2 supervised counts signed off by Level 2 counter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 and C class SKUs; daily perishable sampling; ad-hoc counts (standard zones)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requirements + 6 months counting experience; variance investigation training; supervisor endorsement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 class SKUs; high-value electronics; promotional counts; hold zone counts; regulatory counts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HAZMAT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2 requirements + external HAZMAT certification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 zone counts</w:t>
            </w:r>
          </w:p>
        </w:tc>
      </w:tr>
    </w:tbl>
    <w:p>
      <w:pPr>
        <w:pBdr>
          <w:bottom w:val="single" w:color="0D7C8F" w:sz="2" w:space="4"/>
        </w:pBdr>
        <w:spacing w:after="160" w:before="360"/>
      </w:pPr>
      <w:r>
        <w:rPr>
          <w:rFonts w:ascii="Calibri" w:cs="Calibri" w:eastAsia="Calibri" w:hAnsi="Calibri"/>
          <w:b/>
          <w:bCs/>
          <w:color w:val="1B2A4A"/>
          <w:sz w:val="30"/>
          <w:szCs w:val="30"/>
        </w:rPr>
        <w:t xml:space="preserve">6. Pre-Count Preparation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Generate the Cycle Count Sheet from WMS for the assigned zone/SKU group. The sheet includes: Location barcode, SKU barcode, SKU description, UoM, and lot number (if lot-tracked). The BOOK QUANTITY IS HIDDEN (blind count method) to prevent bias.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Ensure all pending transactions for the count zone are complete: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All goods receipts posted and put-away confirmed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All open pick tasks completed or cancelled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All pending transfers posted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 open replenishment tasks for the zone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If transactions cannot be completed, coordinate with the DC Shift Manager to establish a zone freeze window. Maximum freeze duration: 4 hours for standard zones, 2 hours for high-velocity zones.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Verify handheld scanner is operational: firmware current (check version on startup screen; current version: MC9300-FW-2025.09), battery &gt; 60%, Wi-Fi connected to DC network.</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cold chain zone counts: Coordinate with the Cold Chain Manager to schedule count during off-peak receiving/shipping periods. Cold zone door-open time during counting must not exceed the limits defined in MCG-POL-012 (15 minutes for chilled, 5 minutes for frozen). Counters must wear appropriate PPE: insulated gloves, cold-weather vest for chilled zones; full cold-weather suit for frozen zones.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For high-value electronics counts: Notify DC Security. A security officer must be present during the count to maintain chain of custody. Count area must be under CCTV coverage.</w:t>
      </w:r>
    </w:p>
    <w:p>
      <w:pPr>
        <w:pBdr>
          <w:bottom w:val="single" w:color="0D7C8F" w:sz="2" w:space="4"/>
        </w:pBdr>
        <w:spacing w:after="160" w:before="360"/>
      </w:pPr>
      <w:r>
        <w:rPr>
          <w:rFonts w:ascii="Calibri" w:cs="Calibri" w:eastAsia="Calibri" w:hAnsi="Calibri"/>
          <w:b/>
          <w:bCs/>
          <w:color w:val="1B2A4A"/>
          <w:sz w:val="30"/>
          <w:szCs w:val="30"/>
        </w:rPr>
        <w:t xml:space="preserve">7. Count Process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Navigate to the first count location. Scan the location barcode to initiate count in WMS.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Physically count ALL units of each SKU at the location. Counting rules: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 each individual unit (EA). Do not estimate.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case (CS) quantities: Count cases AND open/partial cases. Record: X full cases + Y loose units. System converts to total EA.</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pallet (PAL) quantities: Count full pallets. For each pallet, verify the pallet label matches the SKU. If labels are missing or illegible, count individual cases on the pallet.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lot-tracked products: Count by lot number. If multiple lots of the same SKU are at the same location, record separate counts per lot.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 items physically present at the location, INCLUDING items that appear damaged, expired, or misplaced. Record their condition in the notes field.</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Scan each SKU barcode and enter the physical count in the WMS count module.</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WMS compares the entered count to the book quantity in real-time and flags variances:</w:t>
      </w:r>
    </w:p>
    <w:p>
      <w:pPr>
        <w:pBdr>
          <w:bottom w:val="single" w:color="0D7C8F" w:sz="2" w:space="4"/>
        </w:pBdr>
        <w:spacing w:after="160" w:before="360"/>
      </w:pPr>
      <w:r>
        <w:rPr>
          <w:rFonts w:ascii="Calibri" w:cs="Calibri" w:eastAsia="Calibri" w:hAnsi="Calibri"/>
          <w:b/>
          <w:bCs/>
          <w:color w:val="1B2A4A"/>
          <w:sz w:val="30"/>
          <w:szCs w:val="30"/>
        </w:rPr>
        <w:t xml:space="preserve">8. Variance Thresholds and Escalation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Variance 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Threshold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Action Required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Approval Authority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Resolution 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Minor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5 units AND ≤ 2% of book qty (whichever is greater)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System auto-adjusts WMS quantity with reason code 'CC-AUTO'. No manual intervention required. Adjustment logged for audit trail.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 (automated)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 (system)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Moderate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6-25 units OR 2-5% of book qty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flags for recount. A DIFFERENT counter (not the original) must perform a second blind count. If the recount matches the original count, supervisor approves the adjustment. If the recount differs, a third count is performed by a Level 2 counter.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Supervisor or Inventory Control Analyst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24 hours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26-100 units OR 5-10% of book qty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zone recount triggered. Root cause investigation initiated by Inventory Control Analyst. Common causes investigated: silent pipeline failure, mispicks, unreported damage, theft, WMS-SAP sync issue.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48 hours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100 units OR &gt; 10% of book qty, OR any A-class SKU variance &gt; 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freeze initiated. Full zone recount by Level 2 counters. VP Warehouse Operations notified. Root cause investigation with written report. May trigger financial inventory restatement.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Warehouse Operations (Henrik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72 hours; written RCA report within 5 business days</w:t>
            </w:r>
          </w:p>
        </w:tc>
      </w:tr>
    </w:tbl>
    <w:p>
      <w:pPr>
        <w:pBdr>
          <w:bottom w:val="single" w:color="0D7C8F" w:sz="2" w:space="4"/>
        </w:pBdr>
        <w:spacing w:after="160" w:before="360"/>
      </w:pPr>
      <w:r>
        <w:rPr>
          <w:rFonts w:ascii="Calibri" w:cs="Calibri" w:eastAsia="Calibri" w:hAnsi="Calibri"/>
          <w:b/>
          <w:bCs/>
          <w:color w:val="1B2A4A"/>
          <w:sz w:val="30"/>
          <w:szCs w:val="30"/>
        </w:rPr>
        <w:t xml:space="preserve">9. SAP Reconciliation</w:t>
      </w:r>
    </w:p>
    <w:p>
      <w:pPr>
        <w:spacing w:after="120"/>
        <w:jc w:val="left"/>
      </w:pPr>
      <w:r>
        <w:rPr>
          <w:rFonts w:ascii="Calibri" w:cs="Calibri" w:eastAsia="Calibri" w:hAnsi="Calibri"/>
          <w:b w:val="false"/>
          <w:bCs w:val="false"/>
          <w:i w:val="false"/>
          <w:iCs w:val="false"/>
          <w:color w:val="1F2937"/>
          <w:sz w:val="21"/>
          <w:szCs w:val="21"/>
        </w:rPr>
        <w:t xml:space="preserve">After WMS count adjustments are finalized, the Inventory Control Analyst must verify SAP reconciliation: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Allow MINIMUM 30 minutes for CDC replication from WMS to SAP. For large batch adjustments (&gt; 50 SKU locations), allow 60 minutes.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In SAP, run transaction MI07 (Inventory Differences List) filtered for the counted SKUs and date range.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Verify each WMS count adjustment is reflected in SAP with matching quantity.</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If any adjustment is MISSING from SAP after 60 minutes, this may indicate a CDC pipeline failure. Escalate to IT Operations immediately and reference INC-2025-04872 (Rotterdam Pipeline Failure) as a comparable incident. Do NOT manually enter the adjustment in SAP.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Due to the 15-minute CDC batch window, rapid sequential count adjustments on the same SKU may show temporary discrepancies between WMS and SAP. Example: Counter adjusts SKU MCG-4420 at Location A-14-03 at 10:05, then adjusts the same SKU at Location A-14-08 at 10:12. The first adjustment may reach SAP before the second, showing a momentary intermediate value. ALWAYS wait 30+ minutes after the LAST count adjustment before verifying reconciliation.</w:t>
            </w:r>
          </w:p>
        </w:tc>
      </w:tr>
    </w:tbl>
    <w:p>
      <w:pPr>
        <w:pBdr>
          <w:bottom w:val="single" w:color="0D7C8F" w:sz="2" w:space="4"/>
        </w:pBdr>
        <w:spacing w:after="160" w:before="360"/>
      </w:pPr>
      <w:r>
        <w:rPr>
          <w:rFonts w:ascii="Calibri" w:cs="Calibri" w:eastAsia="Calibri" w:hAnsi="Calibri"/>
          <w:b/>
          <w:bCs/>
          <w:color w:val="1B2A4A"/>
          <w:sz w:val="30"/>
          <w:szCs w:val="30"/>
        </w:rPr>
        <w:t xml:space="preserve">10. Root Cause Analysis</w:t>
      </w:r>
    </w:p>
    <w:p>
      <w:pPr>
        <w:spacing w:after="120"/>
        <w:jc w:val="left"/>
      </w:pPr>
      <w:r>
        <w:rPr>
          <w:rFonts w:ascii="Calibri" w:cs="Calibri" w:eastAsia="Calibri" w:hAnsi="Calibri"/>
          <w:b w:val="false"/>
          <w:bCs w:val="false"/>
          <w:i w:val="false"/>
          <w:iCs w:val="false"/>
          <w:color w:val="1F2937"/>
          <w:sz w:val="21"/>
          <w:szCs w:val="21"/>
        </w:rPr>
        <w:t xml:space="preserve">For all Major and Critical variances, a Root Cause Analysis (RCA) must be completed within the resolution SLA. The RCA must address: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What was the specific variance (SKU, location, expected vs actual, lot if applicable)?</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When was the last accurate count at this location (reference previous cycle count records)?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What transactions occurred at this location since the last accurate count (WMS transaction log)?</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Was there a known pipeline failure or sync issue during the period (check IT Ops incident log)?</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Was the SKU subject to any promotional activity, store allocation, or reallocation during the period?</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Is there evidence of damage write-off not posted, returns not processed, or inter-zone transfer not completed?</w:t>
      </w:r>
    </w:p>
    <w:p>
      <w:pPr>
        <w:spacing w:after="80"/>
        <w:ind w:left="431"/>
      </w:pPr>
      <w:r>
        <w:rPr>
          <w:rFonts w:ascii="Calibri" w:cs="Calibri" w:eastAsia="Calibri" w:hAnsi="Calibri"/>
          <w:b/>
          <w:bCs/>
          <w:color w:val="0D7C8F"/>
          <w:sz w:val="21"/>
          <w:szCs w:val="21"/>
        </w:rPr>
        <w:t xml:space="preserve">7. </w:t>
      </w:r>
      <w:r>
        <w:rPr>
          <w:rFonts w:ascii="Calibri" w:cs="Calibri" w:eastAsia="Calibri" w:hAnsi="Calibri"/>
          <w:b w:val="false"/>
          <w:bCs w:val="false"/>
          <w:color w:val="1F2937"/>
          <w:sz w:val="21"/>
          <w:szCs w:val="21"/>
        </w:rPr>
        <w:t xml:space="preserve">For A-class electronics: Was there a security incident or evidence of shrinkage?</w:t>
      </w:r>
    </w:p>
    <w:p>
      <w:pPr>
        <w:spacing w:after="120"/>
        <w:jc w:val="left"/>
      </w:pPr>
      <w:r>
        <w:rPr>
          <w:rFonts w:ascii="Calibri" w:cs="Calibri" w:eastAsia="Calibri" w:hAnsi="Calibri"/>
          <w:b w:val="false"/>
          <w:bCs w:val="false"/>
          <w:i w:val="false"/>
          <w:iCs w:val="false"/>
          <w:color w:val="1F2937"/>
          <w:sz w:val="21"/>
          <w:szCs w:val="21"/>
        </w:rPr>
        <w:t xml:space="preserve">Common root causes identified at MCG (ranked by frequency):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Root Cause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Nightmare Link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Typical Resolution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WMS-SAP sync failure (batch job stopped)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Silent Pipelines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 restart; backlog replay; pipeline monitoring alert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Picks completed in WMS but shipment not confirmed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Silent Pipelines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Post-shipment confirmation; retrain picker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Goods received but put-away not confirmed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Process gap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put-away transaction; retrain receiver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Damaged/expired stock not written off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Process gap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 write-off; establish regular damaged goods sweep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Cross-dock items counted in wrong zone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Process gap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Correct location assignment; retrain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UoM conversion error (EA vs CS vs PAL)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Product Master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Correct UoM; flag SKU master for review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Actual theft/shrinkage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Security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Security investigation; loss prevention review</w:t>
            </w:r>
          </w:p>
        </w:tc>
      </w:tr>
    </w:tbl>
    <w:p>
      <w:pPr>
        <w:pBdr>
          <w:bottom w:val="single" w:color="0D7C8F" w:sz="2" w:space="4"/>
        </w:pBdr>
        <w:spacing w:after="160" w:before="360"/>
      </w:pPr>
      <w:r>
        <w:rPr>
          <w:rFonts w:ascii="Calibri" w:cs="Calibri" w:eastAsia="Calibri" w:hAnsi="Calibri"/>
          <w:b/>
          <w:bCs/>
          <w:color w:val="1B2A4A"/>
          <w:sz w:val="30"/>
          <w:szCs w:val="30"/>
        </w:rPr>
        <w:t xml:space="preserve">11. Key Performance Indicators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KPI</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Trend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Source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Record Accuracy (IRA)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Flat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results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completion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 of scheduled counts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schedule vs completion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First-count accuracy (no recount needed)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records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Variance root cause resolved within SLA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 slowly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RCA report log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SAP-WMS reconciliation match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 slowly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Daily sync verification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A-class count on-time completion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schedule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Average variance (absolute, A-class SKUs)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 slowly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records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freeze compliance (within 4-hour limit)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zone freeze log</w:t>
            </w:r>
          </w:p>
        </w:tc>
      </w:tr>
    </w:tbl>
    <w:p>
      <w:pPr>
        <w:pBdr>
          <w:bottom w:val="single" w:color="0D7C8F" w:sz="2" w:space="4"/>
        </w:pBdr>
        <w:spacing w:after="160" w:before="360"/>
      </w:pPr>
      <w:r>
        <w:rPr>
          <w:rFonts w:ascii="Calibri" w:cs="Calibri" w:eastAsia="Calibri" w:hAnsi="Calibri"/>
          <w:b/>
          <w:bCs/>
          <w:color w:val="1B2A4A"/>
          <w:sz w:val="30"/>
          <w:szCs w:val="30"/>
        </w:rPr>
        <w:t xml:space="preserve">12. Appendix: Sample Cycle Count Sheet</w:t>
      </w:r>
    </w:p>
    <w:p>
      <w:pPr>
        <w:spacing w:after="120"/>
        <w:jc w:val="left"/>
      </w:pPr>
      <w:r>
        <w:rPr>
          <w:rFonts w:ascii="Calibri" w:cs="Calibri" w:eastAsia="Calibri" w:hAnsi="Calibri"/>
          <w:b w:val="false"/>
          <w:bCs w:val="false"/>
          <w:i w:val="false"/>
          <w:iCs w:val="false"/>
          <w:color w:val="1F2937"/>
          <w:sz w:val="21"/>
          <w:szCs w:val="21"/>
        </w:rPr>
        <w:t xml:space="preserve">The following is an example of a WMS-generated Cycle Count Sheet (blind count method — book quantities hidden):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Location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SKU</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UoM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Lot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Physical Count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Counter Notes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A-14-03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MCG-4420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Bluetooth Speaker (Black)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A-14-03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MCG-4421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Bluetooth Speaker (White)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E-02-11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MCG-8801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Organic Butter Lettuce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LOT-FD-2025-0847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E-02-11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MCG-8802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Fresh Basil (200g)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LOT-FD-2025-0912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G-01-05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MCG-9100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Premium Vanilla Ice Cream 1L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LOT-IC-2025-2204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S-03-02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MCG-5500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Wireless Noise-Cancel Headphones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bl>
    <w:p>
      <w:pPr>
        <w:pBdr>
          <w:bottom w:val="single" w:color="0D7C8F" w:sz="2" w:space="4"/>
        </w:pBdr>
        <w:spacing w:after="160" w:before="360"/>
      </w:pPr>
      <w:r>
        <w:rPr>
          <w:rFonts w:ascii="Calibri" w:cs="Calibri" w:eastAsia="Calibri" w:hAnsi="Calibri"/>
          <w:b/>
          <w:bCs/>
          <w:color w:val="1B2A4A"/>
          <w:sz w:val="30"/>
          <w:szCs w:val="30"/>
        </w:rPr>
        <w:t xml:space="preserve">13.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Approval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Jul 2021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cold chain zone counting procedures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Jun 2023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counter certification levels; expanded RCA requirements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CFO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Nov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 + A. de Vries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Updated variance thresholds after Q3 2024 audit; added SAP reconciliation timing guidance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 + A. de Vries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RCA root cause frequency table; updated KPIs to include Q3 2025 actuals; added Appendix with sample count sheet; expanded pre-count preparation for security and HAZMAT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CCO</w:t>
            </w:r>
          </w:p>
        </w:tc>
      </w:tr>
    </w:tbl>
    <w:p>
      <w:pPr>
        <w:pBdr>
          <w:bottom w:val="single" w:color="0D7C8F" w:sz="2" w:space="4"/>
        </w:pBdr>
        <w:spacing w:after="160" w:before="360"/>
      </w:pPr>
      <w:r>
        <w:rPr>
          <w:rFonts w:ascii="Calibri" w:cs="Calibri" w:eastAsia="Calibri" w:hAnsi="Calibri"/>
          <w:b/>
          <w:bCs/>
          <w:color w:val="1B2A4A"/>
          <w:sz w:val="30"/>
          <w:szCs w:val="30"/>
        </w:rPr>
        <w:t xml:space="preserve">14. Document Approval</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Henrik Jansen</w:t>
      </w:r>
    </w:p>
    <w:p>
      <w:pPr>
        <w:spacing w:after="0"/>
      </w:pPr>
      <w:r>
        <w:rPr>
          <w:rFonts w:ascii="Calibri" w:cs="Calibri" w:eastAsia="Calibri" w:hAnsi="Calibri"/>
          <w:color w:val="6B7280"/>
          <w:sz w:val="19"/>
          <w:szCs w:val="19"/>
        </w:rPr>
        <w:t xml:space="preserve">VP Warehouse Operations</w:t>
      </w:r>
    </w:p>
    <w:p>
      <w:pPr>
        <w:spacing w:after="0"/>
      </w:pPr>
      <w:r>
        <w:rPr>
          <w:rFonts w:ascii="Calibri" w:cs="Calibri" w:eastAsia="Calibri" w:hAnsi="Calibri"/>
          <w:i/>
          <w:iCs/>
          <w:color w:val="6B7280"/>
          <w:sz w:val="19"/>
          <w:szCs w:val="19"/>
        </w:rPr>
        <w:t xml:space="preserve">Global Supply Chain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Anke de Vries</w:t>
      </w:r>
    </w:p>
    <w:p>
      <w:pPr>
        <w:spacing w:after="0"/>
      </w:pPr>
      <w:r>
        <w:rPr>
          <w:rFonts w:ascii="Calibri" w:cs="Calibri" w:eastAsia="Calibri" w:hAnsi="Calibri"/>
          <w:color w:val="6B7280"/>
          <w:sz w:val="19"/>
          <w:szCs w:val="19"/>
        </w:rPr>
        <w:t xml:space="preserve">Senior Inventory Control Analyst</w:t>
      </w:r>
    </w:p>
    <w:p>
      <w:pPr>
        <w:spacing w:after="0"/>
      </w:pPr>
      <w:r>
        <w:rPr>
          <w:rFonts w:ascii="Calibri" w:cs="Calibri" w:eastAsia="Calibri" w:hAnsi="Calibri"/>
          <w:i/>
          <w:iCs/>
          <w:color w:val="6B7280"/>
          <w:sz w:val="19"/>
          <w:szCs w:val="19"/>
        </w:rPr>
        <w:t xml:space="preserve">Inventory Control Team</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Executive Approval</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2026-09-21T20:12:47.283Z</dcterms:created>
  <dcterms:modified xsi:type="dcterms:W3CDTF">2026-09-21T20:12:47.283Z</dcterms:modified>
</cp:coreProperties>
</file>

<file path=docProps/custom.xml><?xml version="1.0" encoding="utf-8"?>
<Properties xmlns="http://schemas.openxmlformats.org/officeDocument/2006/custom-properties" xmlns:vt="http://schemas.openxmlformats.org/officeDocument/2006/docPropsVTypes"/>
</file>