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Products, AI-Driven Descriptions, Semantic Types, Validation Rules, API Sharing, Data Marketplace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(Industry Insights)</w:t>
            </w:r>
          </w:p>
          <w:p>
            <w:pPr>
              <w:spacing w:after="0"/>
            </w:pPr>
            <w:r>
              <w:rPr>
                <w:rFonts w:ascii="Inter" w:cs="Inter" w:eastAsia="Inter" w:hAnsi="Inter"/>
                <w:i/>
                <w:iCs/>
                <w:color w:val="454659"/>
                <w:sz w:val="20"/>
                <w:szCs w:val="20"/>
              </w:rPr>
              <w:t xml:space="preserve">MCG's data engineering team built 23 Gold tables last year. By December, 14 had no documentation, 6 had no owner, and the business didn't know 9 of them existed. Meanwhile, three different teams independently built their own 'customer delivery' datasets — all slightly different, all 'correct.' Data Products turn undiscoverable assets into governed, SLA-backed products with clear ownership.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does your organization currently discover and access analytical datasets — is there a catalog, or is it tribal knowledge?"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how MCG turns Gold tables into governed Data Products — with AI-generated descriptions, validation rules, Trust Scores, and API sharing. A Data Product is a contract between the data team and the business.</w:t>
            </w:r>
          </w:p>
        </w:tc>
      </w:tr>
    </w:tbl>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AI-driven descriptions save hours of manual documentation. The AI reads the actual data, understands the schema, and writes descriptions that are grounded in reality — not aspirational.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Deployment note: the primary path is npm run deploy — it provisions both data products via the Data Products API, attaches each product's gold dataset from the catalog once the pipeline has run, and (optionally) activates the product in the marketplace. Walk the manual steps above to show the workflow interactively; the API path is what actually deploys the environment.</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454659"/>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Accept or modify rules — violations automatically route to Stewardship campaigns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API sharing on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Search by tag: "carrier" — should find Last Mile Performance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access request workflow for a business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data as a product: owned, documented, quality-scored, and accessible via API. No more shadow datasets, no more tribal knowledge, no more 'which version of the customer table is right?'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could expose any of your internal datasets as a governed API tomorrow, which one would create the most value?"</w:t>
      </w:r>
    </w:p>
    <w:p>
      <w:pPr>
        <w:spacing w:after="100" w:before="60"/>
      </w:pPr>
      <w:r>
        <w:rPr>
          <w:rFonts w:ascii="Inter" w:cs="Inter" w:eastAsia="Inter" w:hAnsi="Inter"/>
          <w:color w:val="454659"/>
          <w:sz w:val="20"/>
          <w:szCs w:val="20"/>
        </w:rPr>
        <w:t xml:space="preserve">Publish governed data products with AI-generated documentation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shadow datasets and ensure one version of truth</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the business self-serve trusted data without filing tickets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2026-06-12T18:46:28.979Z</dcterms:created>
  <dcterms:modified xsi:type="dcterms:W3CDTF">2026-06-12T18:46:28.979Z</dcterms:modified>
</cp:coreProperties>
</file>

<file path=docProps/custom.xml><?xml version="1.0" encoding="utf-8"?>
<Properties xmlns="http://schemas.openxmlformats.org/officeDocument/2006/custom-properties" xmlns:vt="http://schemas.openxmlformats.org/officeDocument/2006/docPropsVTypes"/>
</file>