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4: Data Lineage, Profiling &amp; Trust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8-12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3b</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Lineage, Impact Analysis, Data Profiling, Trust Score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This module demonstrates Qlik's governance capabilities: tracing data from source to dashboard (lineage), understanding what breaks when a table changes (impact analysis), automated quality profiling, and Trust Scores that quantify data reliability.</w:t>
      </w:r>
    </w:p>
    <w:p>
      <w:pPr>
        <w:spacing w:after="120" w:before="280"/>
      </w:pPr>
      <w:r>
        <w:rPr>
          <w:rFonts w:ascii="Inter" w:cs="Inter" w:eastAsia="Inter" w:hAnsi="Inter"/>
          <w:b/>
          <w:bCs/>
          <w:color w:val="006580"/>
          <w:sz w:val="26"/>
          <w:szCs w:val="26"/>
        </w:rPr>
        <w:t xml:space="preserve">Demo Walk-Through</w:t>
      </w:r>
    </w:p>
    <w:p>
      <w:pPr>
        <w:spacing w:after="100" w:before="200"/>
      </w:pPr>
      <w:r>
        <w:rPr>
          <w:rFonts w:ascii="Inter" w:cs="Inter" w:eastAsia="Inter" w:hAnsi="Inter"/>
          <w:b/>
          <w:bCs/>
          <w:color w:val="19416C"/>
          <w:sz w:val="22"/>
          <w:szCs w:val="22"/>
        </w:rPr>
        <w:t xml:space="preserve">Step 1: Data Lineage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gold.supply_chain_health &gt; Lineage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visual lineage graph tracing back through:</w:t>
      </w:r>
    </w:p>
    <w:p>
      <w:pPr>
        <w:spacing w:after="120"/>
        <w:ind w:left="431"/>
        <w:jc w:val="left"/>
      </w:pPr>
      <w:r>
        <w:rPr>
          <w:rFonts w:ascii="Inter" w:cs="Inter" w:eastAsia="Inter" w:hAnsi="Inter"/>
          <w:b w:val="false"/>
          <w:bCs w:val="false"/>
          <w:i w:val="false"/>
          <w:iCs w:val="false"/>
          <w:color w:val="454659"/>
          <w:sz w:val="21"/>
          <w:szCs w:val="21"/>
        </w:rPr>
        <w:t xml:space="preserve">  Gold table &gt; Silver transformation route &gt; Bronze landing table &gt; PostgreSQL CDC pipeline &gt; Source database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on a field (e.g., ira_pct) to show field-level lineage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Repeat for gold.cold_chain_compliance — shows the Kafka streaming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When the Rotterdam pipeline failed silently for 72 hours, nobody could trace what was affected. With Qlik lineage, you can see exactly which downstream tables and dashboards depend on any source.</w:t>
            </w:r>
          </w:p>
        </w:tc>
      </w:tr>
    </w:tbl>
    <w:p>
      <w:pPr>
        <w:spacing w:after="100" w:before="200"/>
      </w:pPr>
      <w:r>
        <w:rPr>
          <w:rFonts w:ascii="Inter" w:cs="Inter" w:eastAsia="Inter" w:hAnsi="Inter"/>
          <w:b/>
          <w:bCs/>
          <w:color w:val="19416C"/>
          <w:sz w:val="22"/>
          <w:szCs w:val="22"/>
        </w:rPr>
        <w:t xml:space="preserve">Step 2: Impact Analysis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silver.inventory_reconciled &gt; Impact Analysis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downstream dependencies: Gold tables, analytics apps, ML experiments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Explain: if this Silver table breaks, these 3 Gold products go stale, these 2 apps show wrong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Impact analysis answers the question every data engineer dreads: 'If I change this table, what breaks?' Before Qlik, MCG had no way to know.</w:t>
            </w:r>
          </w:p>
        </w:tc>
      </w:tr>
    </w:tbl>
    <w:p>
      <w:pPr>
        <w:spacing w:after="100" w:before="200"/>
      </w:pPr>
      <w:r>
        <w:rPr>
          <w:rFonts w:ascii="Inter" w:cs="Inter" w:eastAsia="Inter" w:hAnsi="Inter"/>
          <w:b/>
          <w:bCs/>
          <w:color w:val="19416C"/>
          <w:sz w:val="22"/>
          <w:szCs w:val="22"/>
        </w:rPr>
        <w:t xml:space="preserve">Step 3: Data Profiling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Run profiling on bronze.sf_contacts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Profiling should detect: 11% address format inconsistencies, 6% truncated fields (&gt;30 chars), null patterns in postal_code column</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Run profiling on bronze.inventory_positions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flag: 15% of perishable items have NULL lot_number, timestamp columns have mixed timezone formats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profiling on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identify: 8,200 products with NULL or zero weight_kg — these are Stewardship candidates</w:t>
            </w:r>
          </w:p>
        </w:tc>
      </w:tr>
    </w:tbl>
    <w:p>
      <w:pPr>
        <w:spacing w:after="100" w:before="200"/>
      </w:pPr>
      <w:r>
        <w:rPr>
          <w:rFonts w:ascii="Inter" w:cs="Inter" w:eastAsia="Inter" w:hAnsi="Inter"/>
          <w:b/>
          <w:bCs/>
          <w:color w:val="19416C"/>
          <w:sz w:val="22"/>
          <w:szCs w:val="22"/>
        </w:rPr>
        <w:t xml:space="preserve">Step 4: Trust Score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Gold data product &gt; Trust Score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four dimensions: Validity, Completeness, Discoverability, Usage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Trust Score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Domain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Before Transformation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After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0.31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0.89</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Addresses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0.42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0.87</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0.55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0.91</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Trust Score drop: simulate a pipeline failure scenario for DC-RTD-01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Trust Score is the single number that tells you whether you can trust your data. When Rotterdam's pipeline failed, the Trust Score dropped from 0.89 to 0.31 — that's an automatic alert, not a manual discovery 72 hours later.</w:t>
            </w:r>
          </w:p>
        </w:tc>
      </w:tr>
    </w:tbl>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Lineage is automatic — Qlik traces every transformation, every join, every filter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Impact analysis prevents 'change and pray' — you know what breaks before you change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Profiling catches problems humans miss — 11% format issues in 18.4M addresses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Trust Score turns subjective 'data quality' into an objective, trackable metric</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2026-02-27T16:31:48.080Z</dcterms:created>
  <dcterms:modified xsi:type="dcterms:W3CDTF">2026-02-27T16:31:48.080Z</dcterms:modified>
</cp:coreProperties>
</file>

<file path=docProps/custom.xml><?xml version="1.0" encoding="utf-8"?>
<Properties xmlns="http://schemas.openxmlformats.org/officeDocument/2006/custom-properties" xmlns:vt="http://schemas.openxmlformats.org/officeDocument/2006/docPropsVTypes"/>
</file>