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p>
      <w:pPr>
        <w:spacing w:after="40" w:before="1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rFonts w:ascii="Inter" w:cs="Inter" w:eastAsia="Inter" w:hAnsi="Inter"/>
          <w:i/>
          <w:iCs/>
          <w:color w:val="6B7280"/>
          <w:sz w:val="17"/>
          <w:szCs w:val="17"/>
        </w:rPr>
        <w:t xml:space="preserve">The MCG deploy console — 11 setup steps, Stewardship at step 11</w:t>
      </w:r>
    </w:p>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or OAuth,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 Stack &amp; Gateway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Off-rail, its own mode: start the local Kafka/PostgreSQL/simulator containers and the optional Data Movement Gateway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shared, managed and data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Salesforce, Kafka, S3 and Athena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two gold data products with dataset attachment and marketplace publish toggles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the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templates and Teams webhook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AutoML experiment, deployment and prediction 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the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sprint, edit its 12-column record schema, and author the automation block graphs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p>
      <w:pPr>
        <w:spacing w:after="120" w:before="280"/>
      </w:pPr>
      <w:r>
        <w:rPr>
          <w:rFonts w:ascii="Inter" w:cs="Inter" w:eastAsia="Inter" w:hAnsi="Inter"/>
          <w:b/>
          <w:bCs/>
          <w:color w:val="006580"/>
          <w:sz w:val="26"/>
          <w:szCs w:val="26"/>
        </w:rPr>
        <w:t xml:space="preserve">2.4 Task-Specific Commands</w:t>
      </w:r>
    </w:p>
    <w:p>
      <w:pPr>
        <w:spacing w:after="120"/>
        <w:jc w:val="left"/>
      </w:pPr>
      <w:r>
        <w:rPr>
          <w:rFonts w:ascii="Inter" w:cs="Inter" w:eastAsia="Inter" w:hAnsi="Inter"/>
          <w:b w:val="false"/>
          <w:bCs w:val="false"/>
          <w:i w:val="false"/>
          <w:iCs w:val="false"/>
          <w:color w:val="454659"/>
          <w:sz w:val="21"/>
          <w:szCs w:val="21"/>
        </w:rPr>
        <w:t xml:space="preserve">Individual pieces of the stack can be run on their own — useful when re-deploying one part rather than the whole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Command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What it does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stewardship:sprint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stewardship sprint. Must target a DATA space; add --dry-run to print the payload, or --list to see what exists.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automations:workspaces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Author the real block graphs for all five automations and push them to the tenant, creating the API Key connection they need.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talend:zip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Package the Talend address job — routines, context group, build spec and Iceberg DDL — into a Studio import bundle.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pipeline:zip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the declarative pipeline projects for manual import.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 generators/capture-tenant-screenshots.js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Refresh the live-tenant screenshots embedded in this guide.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Salesforce, 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 via the API Key connector and title the run with 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07:00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Sprints</w:t>
      </w:r>
    </w:p>
    <w:p>
      <w:pPr>
        <w:spacing w:after="120"/>
        <w:jc w:val="left"/>
      </w:pPr>
      <w:r>
        <w:rPr>
          <w:rFonts w:ascii="Inter" w:cs="Inter" w:eastAsia="Inter" w:hAnsi="Inter"/>
          <w:b w:val="false"/>
          <w:bCs w:val="false"/>
          <w:i w:val="false"/>
          <w:iCs w:val="false"/>
          <w:color w:val="454659"/>
          <w:sz w:val="21"/>
          <w:szCs w:val="21"/>
        </w:rPr>
        <w:t xml:space="preserve">Stewardship sprints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Sprints</w:t>
      </w:r>
    </w:p>
    <w:p>
      <w:pPr>
        <w:spacing w:after="120"/>
        <w:jc w:val="left"/>
      </w:pPr>
      <w:r>
        <w:rPr>
          <w:rFonts w:ascii="Inter" w:cs="Inter" w:eastAsia="Inter" w:hAnsi="Inter"/>
          <w:b w:val="false"/>
          <w:bCs w:val="false"/>
          <w:i w:val="false"/>
          <w:iCs w:val="false"/>
          <w:color w:val="454659"/>
          <w:sz w:val="21"/>
          <w:szCs w:val="21"/>
        </w:rPr>
        <w:t xml:space="preserve">Create four stewardship sprints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Sprint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Sprint Setup Steps</w:t>
      </w:r>
    </w:p>
    <w:p>
      <w:pPr>
        <w:spacing w:after="120"/>
        <w:jc w:val="left"/>
      </w:pPr>
      <w:r>
        <w:rPr>
          <w:rFonts w:ascii="Inter" w:cs="Inter" w:eastAsia="Inter" w:hAnsi="Inter"/>
          <w:b w:val="false"/>
          <w:bCs w:val="false"/>
          <w:i w:val="false"/>
          <w:iCs w:val="false"/>
          <w:color w:val="454659"/>
          <w:sz w:val="21"/>
          <w:szCs w:val="21"/>
        </w:rPr>
        <w:t xml:space="preserve">For each sprint: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Sprint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sprint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sprint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sprint before the demo to show the workflow. Aim for 5-10 resolved records per sprint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sprints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sprints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476b8ca08a8d71dfbf8a56ffafeb64a47b83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2026-08-27T22:56:15.330Z</dcterms:created>
  <dcterms:modified xsi:type="dcterms:W3CDTF">2026-08-27T22:56:15.332Z</dcterms:modified>
</cp:coreProperties>
</file>

<file path=docProps/custom.xml><?xml version="1.0" encoding="utf-8"?>
<Properties xmlns="http://schemas.openxmlformats.org/officeDocument/2006/custom-properties" xmlns:vt="http://schemas.openxmlformats.org/officeDocument/2006/docPropsVTypes"/>
</file>