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NinjaVan Singapore — Contract Amendment AMD3</w:t>
      </w:r>
    </w:p>
    <w:p>
      <w:pPr>
        <w:spacing w:after="120"/>
        <w:jc w:val="left"/>
      </w:pPr>
      <w:r>
        <w:rPr>
          <w:rFonts w:ascii="Calibri" w:cs="Calibri" w:eastAsia="Calibri" w:hAnsi="Calibri"/>
          <w:b/>
          <w:bCs/>
          <w:i w:val="false"/>
          <w:iCs w:val="false"/>
          <w:color w:val="6B7280"/>
          <w:sz w:val="24"/>
          <w:szCs w:val="24"/>
        </w:rPr>
        <w:t xml:space="preserve">Master Service Agreement Amendment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CARRIER-NV-2025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Amendment Number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AMD3 (Third Amendment)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Master Agreement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MSA-2023-NV-SG-001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October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Previous Amendment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AMD2 — 15 March 2024 (rate adjustment)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Meridian Commerce Group Pte. Ltd. (UEN 201912345A)</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Carrier Entity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NinjaVan Pte. Ltd. (UEN 201401234B)</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MCG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Wei Lin Tan, Regional Logistics Manager APAC</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NinjaVan Contact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James Chua, Enterprise Account Director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CONFIDENTIAL — Commercial Terms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Status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EXECUTED — Signed by both parties 18 September 2025</w:t>
            </w:r>
          </w:p>
        </w:tc>
      </w:tr>
    </w:tbl>
    <w:p>
      <w:pPr>
        <w:pBdr>
          <w:bottom w:val="single" w:color="0D7C8F" w:sz="2" w:space="4"/>
        </w:pBdr>
        <w:spacing w:after="160" w:before="360"/>
      </w:pPr>
      <w:r>
        <w:rPr>
          <w:rFonts w:ascii="Calibri" w:cs="Calibri" w:eastAsia="Calibri" w:hAnsi="Calibri"/>
          <w:b/>
          <w:bCs/>
          <w:color w:val="1B2A4A"/>
          <w:sz w:val="30"/>
          <w:szCs w:val="30"/>
        </w:rPr>
        <w:t xml:space="preserve">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Amd #</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Authorized By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Original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Apr 2023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Master Service Agreement execution — 3-year term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 Hartono / L. 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AMD1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Oct 2023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Addition of bulky item service tier (&gt;30 kg); weekend delivery surcharge schedule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W.L. Tan / J. Chua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AMD2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Mar 2024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Annual rate adjustment (+3.2% CPI-indexed); updated insurance coverage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W.L. Tan / J. Chua</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AMD3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Oct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Service level reclassification: 5-10 kg parcels moved from 2-day to 3-day (Standard tier)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W.L. Tan / J. Chua</w:t>
            </w:r>
          </w:p>
        </w:tc>
      </w:tr>
    </w:tbl>
    <w:p>
      <w:pPr>
        <w:pBdr>
          <w:bottom w:val="single" w:color="0D7C8F" w:sz="2" w:space="4"/>
        </w:pBdr>
        <w:spacing w:after="160" w:before="360"/>
      </w:pPr>
      <w:r>
        <w:rPr>
          <w:rFonts w:ascii="Calibri" w:cs="Calibri" w:eastAsia="Calibri" w:hAnsi="Calibri"/>
          <w:b/>
          <w:bCs/>
          <w:color w:val="1B2A4A"/>
          <w:sz w:val="30"/>
          <w:szCs w:val="30"/>
        </w:rPr>
        <w:t xml:space="preserve">1. Definitions</w:t>
      </w:r>
    </w:p>
    <w:p>
      <w:pPr>
        <w:spacing w:after="120"/>
        <w:jc w:val="left"/>
      </w:pPr>
      <w:r>
        <w:rPr>
          <w:rFonts w:ascii="Calibri" w:cs="Calibri" w:eastAsia="Calibri" w:hAnsi="Calibri"/>
          <w:b w:val="false"/>
          <w:bCs w:val="false"/>
          <w:i w:val="false"/>
          <w:iCs w:val="false"/>
          <w:color w:val="1F2937"/>
          <w:sz w:val="21"/>
          <w:szCs w:val="21"/>
        </w:rPr>
        <w:t xml:space="preserve">For the purposes of this Amendment, the following terms shall have the meanings set forth below. Capitalized terms not defined herein shall have the meanings assigned to them in the Master Agreement.</w:t>
      </w:r>
    </w:p>
    <w:p>
      <w:pPr>
        <w:spacing w:after="120"/>
        <w:jc w:val="left"/>
      </w:pPr>
      <w:r>
        <w:rPr>
          <w:rFonts w:ascii="Calibri" w:cs="Calibri" w:eastAsia="Calibri" w:hAnsi="Calibri"/>
          <w:b w:val="false"/>
          <w:bCs w:val="false"/>
          <w:i w:val="false"/>
          <w:iCs w:val="false"/>
          <w:color w:val="1F2937"/>
          <w:sz w:val="21"/>
          <w:szCs w:val="21"/>
        </w:rPr>
        <w:t xml:space="preserve">"Business Day" means any day other than a Saturday, Sunday, or gazetted public holiday in the Republic of Singapore.</w:t>
      </w:r>
    </w:p>
    <w:p>
      <w:pPr>
        <w:spacing w:after="120"/>
        <w:jc w:val="left"/>
      </w:pPr>
      <w:r>
        <w:rPr>
          <w:rFonts w:ascii="Calibri" w:cs="Calibri" w:eastAsia="Calibri" w:hAnsi="Calibri"/>
          <w:b w:val="false"/>
          <w:bCs w:val="false"/>
          <w:i w:val="false"/>
          <w:iCs w:val="false"/>
          <w:color w:val="1F2937"/>
          <w:sz w:val="21"/>
          <w:szCs w:val="21"/>
        </w:rPr>
        <w:t xml:space="preserve">"Delivery Attempt" means a documented attempt by the Carrier to deliver a Parcel to the Consignee at the designated delivery address, evidenced by a tracking scan event.</w:t>
      </w:r>
    </w:p>
    <w:p>
      <w:pPr>
        <w:spacing w:after="120"/>
        <w:jc w:val="left"/>
      </w:pPr>
      <w:r>
        <w:rPr>
          <w:rFonts w:ascii="Calibri" w:cs="Calibri" w:eastAsia="Calibri" w:hAnsi="Calibri"/>
          <w:b w:val="false"/>
          <w:bCs w:val="false"/>
          <w:i w:val="false"/>
          <w:iCs w:val="false"/>
          <w:color w:val="1F2937"/>
          <w:sz w:val="21"/>
          <w:szCs w:val="21"/>
        </w:rPr>
        <w:t xml:space="preserve">"Express Tier" means the service level providing next-business-day delivery for parcels weighing 0-5 kg within Singapore.</w:t>
      </w:r>
    </w:p>
    <w:p>
      <w:pPr>
        <w:spacing w:after="120"/>
        <w:jc w:val="left"/>
      </w:pPr>
      <w:r>
        <w:rPr>
          <w:rFonts w:ascii="Calibri" w:cs="Calibri" w:eastAsia="Calibri" w:hAnsi="Calibri"/>
          <w:b w:val="false"/>
          <w:bCs w:val="false"/>
          <w:i w:val="false"/>
          <w:iCs w:val="false"/>
          <w:color w:val="1F2937"/>
          <w:sz w:val="21"/>
          <w:szCs w:val="21"/>
        </w:rPr>
        <w:t xml:space="preserve">"First-Attempt Delivery Rate" means the percentage of Parcels successfully delivered on the first Delivery Attempt, calculated monthly.</w:t>
      </w:r>
    </w:p>
    <w:p>
      <w:pPr>
        <w:spacing w:after="120"/>
        <w:jc w:val="left"/>
      </w:pPr>
      <w:r>
        <w:rPr>
          <w:rFonts w:ascii="Calibri" w:cs="Calibri" w:eastAsia="Calibri" w:hAnsi="Calibri"/>
          <w:b w:val="false"/>
          <w:bCs w:val="false"/>
          <w:i w:val="false"/>
          <w:iCs w:val="false"/>
          <w:color w:val="1F2937"/>
          <w:sz w:val="21"/>
          <w:szCs w:val="21"/>
        </w:rPr>
        <w:t xml:space="preserve">"On-Time Delivery" means delivery completed within the SLA window applicable to the Parcel weight band and service tier.</w:t>
      </w:r>
    </w:p>
    <w:p>
      <w:pPr>
        <w:spacing w:after="120"/>
        <w:jc w:val="left"/>
      </w:pPr>
      <w:r>
        <w:rPr>
          <w:rFonts w:ascii="Calibri" w:cs="Calibri" w:eastAsia="Calibri" w:hAnsi="Calibri"/>
          <w:b w:val="false"/>
          <w:bCs w:val="false"/>
          <w:i w:val="false"/>
          <w:iCs w:val="false"/>
          <w:color w:val="1F2937"/>
          <w:sz w:val="21"/>
          <w:szCs w:val="21"/>
        </w:rPr>
        <w:t xml:space="preserve">"Parcel" means any package tendered by MCG to the Carrier for delivery under this Agreement.</w:t>
      </w:r>
    </w:p>
    <w:p>
      <w:pPr>
        <w:spacing w:after="120"/>
        <w:jc w:val="left"/>
      </w:pPr>
      <w:r>
        <w:rPr>
          <w:rFonts w:ascii="Calibri" w:cs="Calibri" w:eastAsia="Calibri" w:hAnsi="Calibri"/>
          <w:b w:val="false"/>
          <w:bCs w:val="false"/>
          <w:i w:val="false"/>
          <w:iCs w:val="false"/>
          <w:color w:val="1F2937"/>
          <w:sz w:val="21"/>
          <w:szCs w:val="21"/>
        </w:rPr>
        <w:t xml:space="preserve">"SLA Window" means the maximum number of Business Days permitted between Carrier receipt of a Parcel and successful delivery.</w:t>
      </w:r>
    </w:p>
    <w:p>
      <w:pPr>
        <w:spacing w:after="120"/>
        <w:jc w:val="left"/>
      </w:pPr>
      <w:r>
        <w:rPr>
          <w:rFonts w:ascii="Calibri" w:cs="Calibri" w:eastAsia="Calibri" w:hAnsi="Calibri"/>
          <w:b w:val="false"/>
          <w:bCs w:val="false"/>
          <w:i w:val="false"/>
          <w:iCs w:val="false"/>
          <w:color w:val="1F2937"/>
          <w:sz w:val="21"/>
          <w:szCs w:val="21"/>
        </w:rPr>
        <w:t xml:space="preserve">"Standard Tier" means the service level providing delivery within the SLA windows specified in Schedule A for parcels in the applicable weight bands.</w:t>
      </w:r>
    </w:p>
    <w:p>
      <w:pPr>
        <w:spacing w:after="120"/>
        <w:jc w:val="left"/>
      </w:pPr>
      <w:r>
        <w:rPr>
          <w:rFonts w:ascii="Calibri" w:cs="Calibri" w:eastAsia="Calibri" w:hAnsi="Calibri"/>
          <w:b w:val="false"/>
          <w:bCs w:val="false"/>
          <w:i w:val="false"/>
          <w:iCs w:val="false"/>
          <w:color w:val="1F2937"/>
          <w:sz w:val="21"/>
          <w:szCs w:val="21"/>
        </w:rPr>
        <w:t xml:space="preserve">"Tracking Event" means a timestamped status update transmitted by the Carrier to MCG via the agreed API or data feed, including but not limited to: picked up, in transit, out for delivery, delivered, and delivery failed.</w:t>
      </w:r>
    </w:p>
    <w:p>
      <w:pPr>
        <w:spacing w:after="120"/>
        <w:jc w:val="left"/>
      </w:pPr>
      <w:r>
        <w:rPr>
          <w:rFonts w:ascii="Calibri" w:cs="Calibri" w:eastAsia="Calibri" w:hAnsi="Calibri"/>
          <w:b w:val="false"/>
          <w:bCs w:val="false"/>
          <w:i w:val="false"/>
          <w:iCs w:val="false"/>
          <w:color w:val="1F2937"/>
          <w:sz w:val="21"/>
          <w:szCs w:val="21"/>
        </w:rPr>
        <w:t xml:space="preserve">"WISMO" means "Where Is My Order" — a customer inquiry regarding the status of an order that has been dispatched but not confirmed delivered.</w:t>
      </w:r>
    </w:p>
    <w:p>
      <w:pPr>
        <w:spacing w:after="120"/>
        <w:jc w:val="left"/>
      </w:pPr>
      <w:r>
        <w:rPr>
          <w:rFonts w:ascii="Calibri" w:cs="Calibri" w:eastAsia="Calibri" w:hAnsi="Calibri"/>
          <w:b w:val="false"/>
          <w:bCs w:val="false"/>
          <w:i w:val="false"/>
          <w:iCs w:val="false"/>
          <w:color w:val="1F2937"/>
          <w:sz w:val="21"/>
          <w:szCs w:val="21"/>
        </w:rPr>
        <w:t xml:space="preserve">"WISMO Rate" means the percentage of dispatched orders that generate at least one WISMO inquiry within the applicable SLA window, measured monthly.</w:t>
      </w:r>
    </w:p>
    <w:p>
      <w:pPr>
        <w:pBdr>
          <w:bottom w:val="single" w:color="0D7C8F" w:sz="2" w:space="4"/>
        </w:pBdr>
        <w:spacing w:after="160" w:before="360"/>
      </w:pPr>
      <w:r>
        <w:rPr>
          <w:rFonts w:ascii="Calibri" w:cs="Calibri" w:eastAsia="Calibri" w:hAnsi="Calibri"/>
          <w:b/>
          <w:bCs/>
          <w:color w:val="1B2A4A"/>
          <w:sz w:val="30"/>
          <w:szCs w:val="30"/>
        </w:rPr>
        <w:t xml:space="preserve">2. Background and Recitals</w:t>
      </w:r>
    </w:p>
    <w:p>
      <w:pPr>
        <w:spacing w:after="120"/>
        <w:jc w:val="left"/>
      </w:pPr>
      <w:r>
        <w:rPr>
          <w:rFonts w:ascii="Calibri" w:cs="Calibri" w:eastAsia="Calibri" w:hAnsi="Calibri"/>
          <w:b w:val="false"/>
          <w:bCs w:val="false"/>
          <w:i w:val="false"/>
          <w:iCs w:val="false"/>
          <w:color w:val="1F2937"/>
          <w:sz w:val="21"/>
          <w:szCs w:val="21"/>
        </w:rPr>
        <w:t xml:space="preserve">2.1. MCG and NinjaVan entered into the Master Service Agreement MSA-2023-NV-SG-001 on 01 April 2023 for the provision of last-mile parcel delivery services in the Republic of Singapore.</w:t>
      </w:r>
    </w:p>
    <w:p>
      <w:pPr>
        <w:spacing w:after="120"/>
        <w:jc w:val="left"/>
      </w:pPr>
      <w:r>
        <w:rPr>
          <w:rFonts w:ascii="Calibri" w:cs="Calibri" w:eastAsia="Calibri" w:hAnsi="Calibri"/>
          <w:b w:val="false"/>
          <w:bCs w:val="false"/>
          <w:i w:val="false"/>
          <w:iCs w:val="false"/>
          <w:color w:val="1F2937"/>
          <w:sz w:val="21"/>
          <w:szCs w:val="21"/>
        </w:rPr>
        <w:t xml:space="preserve">2.2. Under the Master Agreement, NinjaVan provides next-day, 2-day, 3-day, and 5-day delivery services segmented by parcel weight band.</w:t>
      </w:r>
    </w:p>
    <w:p>
      <w:pPr>
        <w:spacing w:after="120"/>
        <w:jc w:val="left"/>
      </w:pPr>
      <w:r>
        <w:rPr>
          <w:rFonts w:ascii="Calibri" w:cs="Calibri" w:eastAsia="Calibri" w:hAnsi="Calibri"/>
          <w:b w:val="false"/>
          <w:bCs w:val="false"/>
          <w:i w:val="false"/>
          <w:iCs w:val="false"/>
          <w:color w:val="1F2937"/>
          <w:sz w:val="21"/>
          <w:szCs w:val="21"/>
        </w:rPr>
        <w:t xml:space="preserve">2.3. NinjaVan has undertaken an operational review of its Singapore network capacity and determined that parcels in the 5-10 kg weight band require reclassification to a 3-day delivery window due to changes in sorting facility throughput and last-mile vehicle load optimization.</w:t>
      </w:r>
    </w:p>
    <w:p>
      <w:pPr>
        <w:spacing w:after="120"/>
        <w:jc w:val="left"/>
      </w:pPr>
      <w:r>
        <w:rPr>
          <w:rFonts w:ascii="Calibri" w:cs="Calibri" w:eastAsia="Calibri" w:hAnsi="Calibri"/>
          <w:b w:val="false"/>
          <w:bCs w:val="false"/>
          <w:i w:val="false"/>
          <w:iCs w:val="false"/>
          <w:color w:val="1F2937"/>
          <w:sz w:val="21"/>
          <w:szCs w:val="21"/>
        </w:rPr>
        <w:t xml:space="preserve">2.4. This Amendment formalizes the service level reclassification and associated rate adjustment for the 5-10 kg weight band, effective from the Amendment Effective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CRITICAL NOTICE: This Amendment was executed on 18 September 2025 with an effective date of 01 October 2025. However, MCG's e-commerce fulfillment team (headed by Priya Ramanathan, E-Commerce Operations Manager) was NOT notified of the SLA change until 22 October 2025 — more than 3 weeks after the effective date. During this period, the MCG Singapore website and mobile app continued to display '2-day delivery' promises for 5-10 kg orders, resulting in false delivery commitments to approximately 14,000 customers per month.</w:t>
            </w:r>
          </w:p>
        </w:tc>
      </w:tr>
    </w:tbl>
    <w:p>
      <w:pPr>
        <w:pBdr>
          <w:bottom w:val="single" w:color="0D7C8F" w:sz="2" w:space="4"/>
        </w:pBdr>
        <w:spacing w:after="160" w:before="360"/>
      </w:pPr>
      <w:r>
        <w:rPr>
          <w:rFonts w:ascii="Calibri" w:cs="Calibri" w:eastAsia="Calibri" w:hAnsi="Calibri"/>
          <w:b/>
          <w:bCs/>
          <w:color w:val="1B2A4A"/>
          <w:sz w:val="30"/>
          <w:szCs w:val="30"/>
        </w:rPr>
        <w:t xml:space="preserve">3. Service Level Modification</w:t>
      </w:r>
    </w:p>
    <w:p>
      <w:pPr>
        <w:spacing w:after="120" w:before="280"/>
      </w:pPr>
      <w:r>
        <w:rPr>
          <w:rFonts w:ascii="Calibri" w:cs="Calibri" w:eastAsia="Calibri" w:hAnsi="Calibri"/>
          <w:b/>
          <w:bCs/>
          <w:color w:val="0D7C8F"/>
          <w:sz w:val="26"/>
          <w:szCs w:val="26"/>
        </w:rPr>
        <w:t xml:space="preserve">3.1 Reclassification Summary</w:t>
      </w:r>
    </w:p>
    <w:p>
      <w:pPr>
        <w:spacing w:after="120"/>
        <w:jc w:val="left"/>
      </w:pPr>
      <w:r>
        <w:rPr>
          <w:rFonts w:ascii="Calibri" w:cs="Calibri" w:eastAsia="Calibri" w:hAnsi="Calibri"/>
          <w:b w:val="false"/>
          <w:bCs w:val="false"/>
          <w:i w:val="false"/>
          <w:iCs w:val="false"/>
          <w:color w:val="1F2937"/>
          <w:sz w:val="21"/>
          <w:szCs w:val="21"/>
        </w:rPr>
        <w:t xml:space="preserve">Effective 01 October 2025, Section 4.2(c) of the Master Agreement is hereby amended to reclassify the 5-10 kg weight band from the Express Tier (2-business-day delivery) to the Standard Tier (3-business-day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Previous SLA</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New SLA (AMD3)</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Service Tier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Tracking Level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0-2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Next-day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Next-day (unchanged)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Express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Real-time (every scan)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Next-day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Next-day (unchanged)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Express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Real-time (every scan)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(CHANGED)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(hub scans only)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3-day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3-day delivery (unchanged)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Standard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Standard (hub scans only)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20-30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5-day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5-day delivery (unchanged)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Freight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Daily batch update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30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By appointment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By appointment (unchanged)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Bulky Item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Manual confirmation</w:t>
            </w:r>
          </w:p>
        </w:tc>
      </w:tr>
    </w:tbl>
    <w:p>
      <w:pPr>
        <w:spacing w:after="120" w:before="280"/>
      </w:pPr>
      <w:r>
        <w:rPr>
          <w:rFonts w:ascii="Calibri" w:cs="Calibri" w:eastAsia="Calibri" w:hAnsi="Calibri"/>
          <w:b/>
          <w:bCs/>
          <w:color w:val="0D7C8F"/>
          <w:sz w:val="26"/>
          <w:szCs w:val="26"/>
        </w:rPr>
        <w:t xml:space="preserve">3.2 Parcel Dimension Limits</w:t>
      </w:r>
    </w:p>
    <w:p>
      <w:pPr>
        <w:spacing w:after="120"/>
        <w:jc w:val="left"/>
      </w:pPr>
      <w:r>
        <w:rPr>
          <w:rFonts w:ascii="Calibri" w:cs="Calibri" w:eastAsia="Calibri" w:hAnsi="Calibri"/>
          <w:b w:val="false"/>
          <w:bCs w:val="false"/>
          <w:i w:val="false"/>
          <w:iCs w:val="false"/>
          <w:color w:val="1F2937"/>
          <w:sz w:val="21"/>
          <w:szCs w:val="21"/>
        </w:rPr>
        <w:t xml:space="preserve">The following maximum dimensions apply per weight band. Parcels exceeding these dimensions are subject to the oversize surcharge specified in Schedule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Length (cm)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Width (cm)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Height (cm)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L+W+H (cm)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Oversize Surcharge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0-2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2.00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3.00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170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5.00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8.00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20-30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12.00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30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By quotation</w:t>
            </w:r>
          </w:p>
        </w:tc>
      </w:tr>
    </w:tbl>
    <w:p>
      <w:pPr>
        <w:pBdr>
          <w:bottom w:val="single" w:color="0D7C8F" w:sz="2" w:space="4"/>
        </w:pBdr>
        <w:spacing w:after="160" w:before="360"/>
      </w:pPr>
      <w:r>
        <w:rPr>
          <w:rFonts w:ascii="Calibri" w:cs="Calibri" w:eastAsia="Calibri" w:hAnsi="Calibri"/>
          <w:b/>
          <w:bCs/>
          <w:color w:val="1B2A4A"/>
          <w:sz w:val="30"/>
          <w:szCs w:val="30"/>
        </w:rPr>
        <w:t xml:space="preserve">4. Rate Schedule (Schedule A)</w:t>
      </w:r>
    </w:p>
    <w:p>
      <w:pPr>
        <w:spacing w:after="120" w:before="280"/>
      </w:pPr>
      <w:r>
        <w:rPr>
          <w:rFonts w:ascii="Calibri" w:cs="Calibri" w:eastAsia="Calibri" w:hAnsi="Calibri"/>
          <w:b/>
          <w:bCs/>
          <w:color w:val="0D7C8F"/>
          <w:sz w:val="26"/>
          <w:szCs w:val="26"/>
        </w:rPr>
        <w:t xml:space="preserve">4.1 Standard Delivery Rates by Weight Band and Zone</w:t>
      </w:r>
    </w:p>
    <w:p>
      <w:pPr>
        <w:spacing w:after="120"/>
        <w:jc w:val="left"/>
      </w:pPr>
      <w:r>
        <w:rPr>
          <w:rFonts w:ascii="Calibri" w:cs="Calibri" w:eastAsia="Calibri" w:hAnsi="Calibri"/>
          <w:b w:val="false"/>
          <w:bCs w:val="false"/>
          <w:i w:val="false"/>
          <w:iCs w:val="false"/>
          <w:color w:val="1F2937"/>
          <w:sz w:val="21"/>
          <w:szCs w:val="21"/>
        </w:rPr>
        <w:t xml:space="preserve">Singapore is divided into three delivery zones for rate calculation purposes: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Zone 1 (Central): Districts 01-08, 17-20, 22-23 — Central Business District, Orchard, Novena, Toa Payoh, Bishan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Zone 2 (Urban): Districts 09-16, 21, 24-28 — Woodlands, Yishun, Ang Mo Kio, Tampines, Bedok, Jurong East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Zone 3 (Extended): Districts 29+, Sentosa, Jurong Island, Tuas — Changi, Lim Chu Kang, Western islands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Weight Band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1 (SGD)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2 (SGD)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3 (SGD)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 vs AMD2</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0-2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+3.9%</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$5.45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5-10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$7.65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$8.70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-15.3% (SLA reduced)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10-20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$12.60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$13.40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20-30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$19.25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$23.30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+4.1%</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30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$29.80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w:t>
            </w:r>
          </w:p>
        </w:tc>
      </w:tr>
    </w:tbl>
    <w:p>
      <w:pPr>
        <w:spacing w:after="120"/>
        <w:jc w:val="left"/>
      </w:pPr>
      <w:r>
        <w:rPr>
          <w:rFonts w:ascii="Calibri" w:cs="Calibri" w:eastAsia="Calibri" w:hAnsi="Calibri"/>
          <w:b w:val="false"/>
          <w:bCs w:val="false"/>
          <w:i w:val="false"/>
          <w:iCs w:val="false"/>
          <w:color w:val="1F2937"/>
          <w:sz w:val="21"/>
          <w:szCs w:val="21"/>
        </w:rPr>
        <w:t xml:space="preserve">Note: The rate reduction for the 5-10 kg band from SGD 8.50 to SGD 7.20 (Zone 1) reflects the reduced service level commitment (3-day vs 2-day delivery). MCG's estimated monthly savings of SGD 18,200 on this weight band are offset by the customer experience impact detailed in Section 7.</w:t>
      </w:r>
    </w:p>
    <w:p>
      <w:pPr>
        <w:spacing w:after="120" w:before="280"/>
      </w:pPr>
      <w:r>
        <w:rPr>
          <w:rFonts w:ascii="Calibri" w:cs="Calibri" w:eastAsia="Calibri" w:hAnsi="Calibri"/>
          <w:b/>
          <w:bCs/>
          <w:color w:val="0D7C8F"/>
          <w:sz w:val="26"/>
          <w:szCs w:val="26"/>
        </w:rPr>
        <w:t xml:space="preserve">4.2 Surcharges and Additional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Surcharge Type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Amount (SGD)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Conditions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Residential surcharge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$0.80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to non-commercial HDB/condo addresses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Weekend/PH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Saturday, Sunday, or gazetted public holiday delivery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Time-slot delivery (2hr window)</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Customer-selected 2-hour delivery window</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Address correction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Incorrect/incomplete address requiring correction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Failed delivery re-attempt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Second or subsequent delivery attempt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Cash on delivery (COD)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COD collection and remittance service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Oversize handling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See 3.2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Parcels exceeding dimension limits per weight band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Dangerous goods (limited)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Lithium battery-containing products (UN3481)</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Insurance premium (declared &gt;$500)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0.8% of value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Declared value exceeding SGD 500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 to sender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 of outbound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Undeliverable parcels returned to MCG</w:t>
            </w:r>
          </w:p>
        </w:tc>
      </w:tr>
    </w:tbl>
    <w:p>
      <w:pPr>
        <w:spacing w:after="120" w:before="280"/>
      </w:pPr>
      <w:r>
        <w:rPr>
          <w:rFonts w:ascii="Calibri" w:cs="Calibri" w:eastAsia="Calibri" w:hAnsi="Calibri"/>
          <w:b/>
          <w:bCs/>
          <w:color w:val="0D7C8F"/>
          <w:sz w:val="26"/>
          <w:szCs w:val="26"/>
        </w:rPr>
        <w:t xml:space="preserve">4.3 Holiday Surge Provisions</w:t>
      </w:r>
    </w:p>
    <w:p>
      <w:pPr>
        <w:spacing w:after="120"/>
        <w:jc w:val="left"/>
      </w:pPr>
      <w:r>
        <w:rPr>
          <w:rFonts w:ascii="Calibri" w:cs="Calibri" w:eastAsia="Calibri" w:hAnsi="Calibri"/>
          <w:b w:val="false"/>
          <w:bCs w:val="false"/>
          <w:i w:val="false"/>
          <w:iCs w:val="false"/>
          <w:color w:val="1F2937"/>
          <w:sz w:val="21"/>
          <w:szCs w:val="21"/>
        </w:rPr>
        <w:t xml:space="preserve">During designated peak periods, the following surge pricing applies. NinjaVan shall provide MCG with no less than 30 days written notice before activating surge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Peak Period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Dates (2025-2026)</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Surge Multiplier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Notice Required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Singles Day (11.11)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08-14 Nov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1.25x base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Black Friday / Cyber Monday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Nov - 02 Dec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1.30x base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days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12.12 Sale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10-15 Dec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1.25x base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Christmas/New Year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 Dec 2025 - 03 Jan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1.35x base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days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Chinese New Year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26 Jan - 05 Feb 2026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1.40x base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Hari Raya Puasa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TBD (est. late Mar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1.20x base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days</w:t>
            </w:r>
          </w:p>
        </w:tc>
      </w:tr>
    </w:tbl>
    <w:p>
      <w:pPr>
        <w:spacing w:after="120"/>
        <w:jc w:val="left"/>
      </w:pPr>
      <w:r>
        <w:rPr>
          <w:rFonts w:ascii="Calibri" w:cs="Calibri" w:eastAsia="Calibri" w:hAnsi="Calibri"/>
          <w:b w:val="false"/>
          <w:bCs w:val="false"/>
          <w:i w:val="false"/>
          <w:iCs w:val="false"/>
          <w:color w:val="1F2937"/>
          <w:sz w:val="21"/>
          <w:szCs w:val="21"/>
        </w:rPr>
        <w:t xml:space="preserve">MCG volume commitment during peak periods: MCG shall provide a 14-day rolling forecast of expected daily parcel volumes during surge periods. Failure to provide the forecast may result in capacity allocation being reduced to 80% of the prior year's peak daily volume.</w:t>
      </w:r>
    </w:p>
    <w:p>
      <w:pPr>
        <w:pBdr>
          <w:bottom w:val="single" w:color="0D7C8F" w:sz="2" w:space="4"/>
        </w:pBdr>
        <w:spacing w:after="160" w:before="360"/>
      </w:pPr>
      <w:r>
        <w:rPr>
          <w:rFonts w:ascii="Calibri" w:cs="Calibri" w:eastAsia="Calibri" w:hAnsi="Calibri"/>
          <w:b/>
          <w:bCs/>
          <w:color w:val="1B2A4A"/>
          <w:sz w:val="30"/>
          <w:szCs w:val="30"/>
        </w:rPr>
        <w:t xml:space="preserve">5. SLA Matrix and Penalty Structure</w:t>
      </w:r>
    </w:p>
    <w:p>
      <w:pPr>
        <w:spacing w:after="120" w:before="280"/>
      </w:pPr>
      <w:r>
        <w:rPr>
          <w:rFonts w:ascii="Calibri" w:cs="Calibri" w:eastAsia="Calibri" w:hAnsi="Calibri"/>
          <w:b/>
          <w:bCs/>
          <w:color w:val="0D7C8F"/>
          <w:sz w:val="26"/>
          <w:szCs w:val="26"/>
        </w:rPr>
        <w:t xml:space="preserve">5.1 Full SLA Performance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Warning Threshold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Penalty Trigger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Measurement Period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 (all bands)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92%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 (Express tier)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96%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First-attempt delivery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87%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85%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data availability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90%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data latency (pickup to first scan)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4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6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Per-event sampling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complaint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WISMO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40%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45%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Parcel damage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0.8%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Lost parcel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0.05%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0.08%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 rolling</w:t>
            </w:r>
          </w:p>
        </w:tc>
      </w:tr>
    </w:tbl>
    <w:p>
      <w:pPr>
        <w:spacing w:after="120" w:before="280"/>
      </w:pPr>
      <w:r>
        <w:rPr>
          <w:rFonts w:ascii="Calibri" w:cs="Calibri" w:eastAsia="Calibri" w:hAnsi="Calibri"/>
          <w:b/>
          <w:bCs/>
          <w:color w:val="0D7C8F"/>
          <w:sz w:val="26"/>
          <w:szCs w:val="26"/>
        </w:rPr>
        <w:t xml:space="preserve">5.2 Penalty Calculation Schedule</w:t>
      </w:r>
    </w:p>
    <w:p>
      <w:pPr>
        <w:spacing w:after="120"/>
        <w:jc w:val="left"/>
      </w:pPr>
      <w:r>
        <w:rPr>
          <w:rFonts w:ascii="Calibri" w:cs="Calibri" w:eastAsia="Calibri" w:hAnsi="Calibri"/>
          <w:b w:val="false"/>
          <w:bCs w:val="false"/>
          <w:i w:val="false"/>
          <w:iCs w:val="false"/>
          <w:color w:val="1F2937"/>
          <w:sz w:val="21"/>
          <w:szCs w:val="21"/>
        </w:rPr>
        <w:t xml:space="preserve">When a performance metric falls below the Penalty Trigger threshold, the following rebates apply to the monthly invoice amount: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Breach Severity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Condition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Rebate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Example (on SGD 180,000 monthly invoice)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Tier 1 (Minor)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metric below penalty trigger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of monthly invoice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3,600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Tier 2 (Moderate)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metrics below penalty trigger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of monthly invoice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9,000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Tier 3 (Major)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 metrics below penalty trigger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 of monthly invoice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14,400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Tier 4 (Critical)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Any metric &gt;10% below target for 2+ months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of monthly invoice + remediation plan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21,600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Termination Trigger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Any metric &gt;15% below target for 3+ months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 may terminate with 30 days notice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r>
    </w:tbl>
    <w:p>
      <w:pPr>
        <w:spacing w:after="120" w:before="280"/>
      </w:pPr>
      <w:r>
        <w:rPr>
          <w:rFonts w:ascii="Calibri" w:cs="Calibri" w:eastAsia="Calibri" w:hAnsi="Calibri"/>
          <w:b/>
          <w:bCs/>
          <w:color w:val="0D7C8F"/>
          <w:sz w:val="26"/>
          <w:szCs w:val="26"/>
        </w:rPr>
        <w:t xml:space="preserve">5.3 Tracking Data Surcharge</w:t>
      </w:r>
    </w:p>
    <w:p>
      <w:pPr>
        <w:spacing w:after="120"/>
        <w:jc w:val="left"/>
      </w:pPr>
      <w:r>
        <w:rPr>
          <w:rFonts w:ascii="Calibri" w:cs="Calibri" w:eastAsia="Calibri" w:hAnsi="Calibri"/>
          <w:b w:val="false"/>
          <w:bCs w:val="false"/>
          <w:i w:val="false"/>
          <w:iCs w:val="false"/>
          <w:color w:val="1F2937"/>
          <w:sz w:val="21"/>
          <w:szCs w:val="21"/>
        </w:rPr>
        <w:t xml:space="preserve">Per Section 8.3 of the Master Agreement, parcels that do not receive a tracking scan within 6 hours of pickup are subject to an untracked parcel surcharge of SGD 0.10 per parcel, applied as a credit on the following month's invoice.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CURRENT STATUS: Tracking data availability in Q3 2025 is 71% against a 99% target — a 28-percentage-point shortfall. At approximately 47,000 Singapore parcels per month, this represents ~13,630 untracked parcels generating SGD 1,363 in monthly surcharges. However, the real cost is the WISMO spike to 52%, which is driving customer service costs estimated at SGD 28,000/month in additional call center staffing.</w:t>
            </w:r>
          </w:p>
        </w:tc>
      </w:tr>
    </w:tbl>
    <w:p>
      <w:pPr>
        <w:pBdr>
          <w:bottom w:val="single" w:color="0D7C8F" w:sz="2" w:space="4"/>
        </w:pBdr>
        <w:spacing w:after="160" w:before="360"/>
      </w:pPr>
      <w:r>
        <w:rPr>
          <w:rFonts w:ascii="Calibri" w:cs="Calibri" w:eastAsia="Calibri" w:hAnsi="Calibri"/>
          <w:b/>
          <w:bCs/>
          <w:color w:val="1B2A4A"/>
          <w:sz w:val="30"/>
          <w:szCs w:val="30"/>
        </w:rPr>
        <w:t xml:space="preserve">6. Performance Metrics — Q2 vs Q3 2025 Comparison</w:t>
      </w:r>
    </w:p>
    <w:p>
      <w:pPr>
        <w:spacing w:after="120" w:before="280"/>
      </w:pPr>
      <w:r>
        <w:rPr>
          <w:rFonts w:ascii="Calibri" w:cs="Calibri" w:eastAsia="Calibri" w:hAnsi="Calibri"/>
          <w:b/>
          <w:bCs/>
          <w:color w:val="0D7C8F"/>
          <w:sz w:val="26"/>
          <w:szCs w:val="26"/>
        </w:rPr>
        <w:t xml:space="preserve">6.1 Quarterly Performance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Q2 2025 Actual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Q3 2025 Actual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Q2→Q3 Trend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Status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 (all bands)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 decline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 (Express tier)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 decline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On-time delivery (Standard tier)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decline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First-attempt delivery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 decline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data availability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decline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Tracking data latency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2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 hrs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+2.7 hrs worse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complaint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+1.6% worse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WISMO rate (Singapore)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30%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 worse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Parcel damage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0.3%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0.6%</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+0.2% worse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WARNING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Lost parcel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0.05%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+0.02% worse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WARNING</w:t>
            </w:r>
          </w:p>
        </w:tc>
      </w:tr>
    </w:tbl>
    <w:p>
      <w:pPr>
        <w:spacing w:after="120" w:before="280"/>
      </w:pPr>
      <w:r>
        <w:rPr>
          <w:rFonts w:ascii="Calibri" w:cs="Calibri" w:eastAsia="Calibri" w:hAnsi="Calibri"/>
          <w:b/>
          <w:bCs/>
          <w:color w:val="0D7C8F"/>
          <w:sz w:val="26"/>
          <w:szCs w:val="26"/>
        </w:rPr>
        <w:t xml:space="preserve">6.2 Penalty Calculations — Q3 2025</w:t>
      </w:r>
    </w:p>
    <w:p>
      <w:pPr>
        <w:spacing w:after="120"/>
        <w:jc w:val="left"/>
      </w:pPr>
      <w:r>
        <w:rPr>
          <w:rFonts w:ascii="Calibri" w:cs="Calibri" w:eastAsia="Calibri" w:hAnsi="Calibri"/>
          <w:b w:val="false"/>
          <w:bCs w:val="false"/>
          <w:i w:val="false"/>
          <w:iCs w:val="false"/>
          <w:color w:val="1F2937"/>
          <w:sz w:val="21"/>
          <w:szCs w:val="21"/>
        </w:rPr>
        <w:t xml:space="preserve">Based on Q3 2025 performance, the following penalties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Month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Monthly Invoice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Metrics in Breach</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Penalty Tier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Rebate Amount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Net Invoice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July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178,400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metrics (on-time, tracking, complaints, WISMO)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Tier 3 (Major)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14,272 (8%)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164,128</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August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183,200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metrics (all July + damage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Tier 3 (Major)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14,656 (8%)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168,544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September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176,800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metrics (continuing)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Tier 4 (Critical) — 2nd consecutive month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21,216 (12%)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155,584</w:t>
            </w:r>
          </w:p>
        </w:tc>
      </w:tr>
    </w:tbl>
    <w:p>
      <w:pPr>
        <w:spacing w:after="120"/>
        <w:jc w:val="left"/>
      </w:pPr>
      <w:r>
        <w:rPr>
          <w:rFonts w:ascii="Calibri" w:cs="Calibri" w:eastAsia="Calibri" w:hAnsi="Calibri"/>
          <w:b/>
          <w:bCs/>
          <w:i w:val="false"/>
          <w:iCs w:val="false"/>
          <w:color w:val="1F2937"/>
          <w:sz w:val="21"/>
          <w:szCs w:val="21"/>
        </w:rPr>
        <w:t xml:space="preserve">Total Q3 2025 rebates claimed: SGD 50,144</w:t>
      </w:r>
    </w:p>
    <w:p>
      <w:pPr>
        <w:spacing w:after="120"/>
        <w:jc w:val="left"/>
      </w:pPr>
      <w:r>
        <w:rPr>
          <w:rFonts w:ascii="Calibri" w:cs="Calibri" w:eastAsia="Calibri" w:hAnsi="Calibri"/>
          <w:b w:val="false"/>
          <w:bCs w:val="false"/>
          <w:i w:val="false"/>
          <w:iCs w:val="false"/>
          <w:color w:val="1F2937"/>
          <w:sz w:val="21"/>
          <w:szCs w:val="21"/>
        </w:rPr>
        <w:t xml:space="preserve">Note: September's escalation to Tier 4 triggers a mandatory remediation plan from NinjaVan, due within 15 business days per Section 5.2 of this Amendment.</w:t>
      </w:r>
    </w:p>
    <w:p>
      <w:pPr>
        <w:spacing w:after="120" w:before="280"/>
      </w:pPr>
      <w:r>
        <w:rPr>
          <w:rFonts w:ascii="Calibri" w:cs="Calibri" w:eastAsia="Calibri" w:hAnsi="Calibri"/>
          <w:b/>
          <w:bCs/>
          <w:color w:val="0D7C8F"/>
          <w:sz w:val="26"/>
          <w:szCs w:val="26"/>
        </w:rPr>
        <w:t xml:space="preserve">6.3 Impact Analysis — Communication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The 3-week notification gap (01 Oct to 22 Oct 2025) resulted in the following quantified impacts: (1) 14,000 customers/month shown incorrect '2-day delivery' promise; (2) 4,200 customer complaints about late delivery in the first 3 weeks; (3) SGD 12,600 in goodwill refunds issued by MCG customer service; (4) NPS score for Singapore dropped from +42 to +28 in October 2025; (5) 847 WISMO tickets routed to the wrong resolution queue because agents did not know about the SLA change.</w:t>
            </w:r>
          </w:p>
        </w:tc>
      </w:tr>
    </w:tbl>
    <w:p>
      <w:pPr>
        <w:pBdr>
          <w:bottom w:val="single" w:color="0D7C8F" w:sz="2" w:space="4"/>
        </w:pBdr>
        <w:spacing w:after="160" w:before="360"/>
      </w:pPr>
      <w:r>
        <w:rPr>
          <w:rFonts w:ascii="Calibri" w:cs="Calibri" w:eastAsia="Calibri" w:hAnsi="Calibri"/>
          <w:b/>
          <w:bCs/>
          <w:color w:val="1B2A4A"/>
          <w:sz w:val="30"/>
          <w:szCs w:val="30"/>
        </w:rPr>
        <w:t xml:space="preserve">7. Tracking Data Requirements (Appendix C)</w:t>
      </w:r>
    </w:p>
    <w:p>
      <w:pPr>
        <w:spacing w:after="120" w:before="280"/>
      </w:pPr>
      <w:r>
        <w:rPr>
          <w:rFonts w:ascii="Calibri" w:cs="Calibri" w:eastAsia="Calibri" w:hAnsi="Calibri"/>
          <w:b/>
          <w:bCs/>
          <w:color w:val="0D7C8F"/>
          <w:sz w:val="26"/>
          <w:szCs w:val="26"/>
        </w:rPr>
        <w:t xml:space="preserve">7.1 Required Tracking Events</w:t>
      </w:r>
    </w:p>
    <w:p>
      <w:pPr>
        <w:spacing w:after="120"/>
        <w:jc w:val="left"/>
      </w:pPr>
      <w:r>
        <w:rPr>
          <w:rFonts w:ascii="Calibri" w:cs="Calibri" w:eastAsia="Calibri" w:hAnsi="Calibri"/>
          <w:b w:val="false"/>
          <w:bCs w:val="false"/>
          <w:i w:val="false"/>
          <w:iCs w:val="false"/>
          <w:color w:val="1F2937"/>
          <w:sz w:val="21"/>
          <w:szCs w:val="21"/>
        </w:rPr>
        <w:t xml:space="preserve">NinjaVan shall transmit the following tracking events to MCG via the agreed webhook endpoint within the specified latency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Event Code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Required Latency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Current Avg Latency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Status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NV-PICKUP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Parcel collected from MCG warehouse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42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WARNING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NV-SORT-IN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Arrived at sorting facility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1 hour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2.4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NV-SORT-OUT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Departed sorting facility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1 hour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NV-HUB-IN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Arrived at delivery hub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1 hour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2.8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NV-OFD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Out for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NV-DELIVERED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Delivered — with photo proof</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15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38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NV-FAILED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attempt failed — with reason code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15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NV-RTS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Return to sender initiated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&lt; 2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4.6 hours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BREACH</w:t>
            </w:r>
          </w:p>
        </w:tc>
      </w:tr>
    </w:tbl>
    <w:p>
      <w:pPr>
        <w:spacing w:after="120" w:before="280"/>
      </w:pPr>
      <w:r>
        <w:rPr>
          <w:rFonts w:ascii="Calibri" w:cs="Calibri" w:eastAsia="Calibri" w:hAnsi="Calibri"/>
          <w:b/>
          <w:bCs/>
          <w:color w:val="0D7C8F"/>
          <w:sz w:val="26"/>
          <w:szCs w:val="26"/>
        </w:rPr>
        <w:t xml:space="preserve">7.2 Tracking Data Format</w:t>
      </w:r>
    </w:p>
    <w:p>
      <w:pPr>
        <w:spacing w:after="120"/>
        <w:jc w:val="left"/>
      </w:pPr>
      <w:r>
        <w:rPr>
          <w:rFonts w:ascii="Calibri" w:cs="Calibri" w:eastAsia="Calibri" w:hAnsi="Calibri"/>
          <w:b w:val="false"/>
          <w:bCs w:val="false"/>
          <w:i w:val="false"/>
          <w:iCs w:val="false"/>
          <w:color w:val="1F2937"/>
          <w:sz w:val="21"/>
          <w:szCs w:val="21"/>
        </w:rPr>
        <w:t xml:space="preserve">All tracking events shall be transmitted as JSON payloads to the MCG webhook endpoint: https://api.meridiancommerce.com/v2/carriers/ninjavan/tracking</w:t>
      </w:r>
    </w:p>
    <w:p>
      <w:pPr>
        <w:spacing w:after="120"/>
        <w:jc w:val="left"/>
      </w:pPr>
      <w:r>
        <w:rPr>
          <w:rFonts w:ascii="Calibri" w:cs="Calibri" w:eastAsia="Calibri" w:hAnsi="Calibri"/>
          <w:b w:val="false"/>
          <w:bCs w:val="false"/>
          <w:i w:val="false"/>
          <w:iCs w:val="false"/>
          <w:color w:val="1F2937"/>
          <w:sz w:val="21"/>
          <w:szCs w:val="21"/>
        </w:rPr>
        <w:t xml:space="preserve">Required fields: tracking_number, event_code, event_timestamp (ISO 8601 with timezone), location_code, location_name, latitude, longitude, driver_id, photo_url (for delivery/failed events), failure_reason_code (for failed events).</w:t>
      </w:r>
    </w:p>
    <w:p>
      <w:pPr>
        <w:spacing w:after="120"/>
        <w:jc w:val="left"/>
      </w:pPr>
      <w:r>
        <w:rPr>
          <w:rFonts w:ascii="Calibri" w:cs="Calibri" w:eastAsia="Calibri" w:hAnsi="Calibri"/>
          <w:b w:val="false"/>
          <w:bCs w:val="false"/>
          <w:i w:val="false"/>
          <w:iCs w:val="false"/>
          <w:color w:val="1F2937"/>
          <w:sz w:val="21"/>
          <w:szCs w:val="21"/>
        </w:rPr>
        <w:t xml:space="preserve">Timestamp format: All timestamps MUST include timezone offset (e.g., 2025-10-01T14:30:00+08:00). Events without timezone information will be rejected by the MCG ingestion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NinjaVan's tracking system intermittently omits the timezone offset from event timestamps, sending bare timestamps (e.g., '2025-10-01T14:30:00'). MCG's Talend ingestion pipeline defaults to UTC for bare timestamps, causing an 8-hour offset for Singapore events. This affects approximately 12% of tracking events and contributes to the Timestamp Tower of Babel (Nightmare #5).</w:t>
            </w:r>
          </w:p>
        </w:tc>
      </w:tr>
    </w:tbl>
    <w:p>
      <w:pPr>
        <w:pBdr>
          <w:bottom w:val="single" w:color="0D7C8F" w:sz="2" w:space="4"/>
        </w:pBdr>
        <w:spacing w:after="160" w:before="360"/>
      </w:pPr>
      <w:r>
        <w:rPr>
          <w:rFonts w:ascii="Calibri" w:cs="Calibri" w:eastAsia="Calibri" w:hAnsi="Calibri"/>
          <w:b/>
          <w:bCs/>
          <w:color w:val="1B2A4A"/>
          <w:sz w:val="30"/>
          <w:szCs w:val="30"/>
        </w:rPr>
        <w:t xml:space="preserve">8. Insurance and Liability</w:t>
      </w:r>
    </w:p>
    <w:p>
      <w:pPr>
        <w:spacing w:after="120" w:before="280"/>
      </w:pPr>
      <w:r>
        <w:rPr>
          <w:rFonts w:ascii="Calibri" w:cs="Calibri" w:eastAsia="Calibri" w:hAnsi="Calibri"/>
          <w:b/>
          <w:bCs/>
          <w:color w:val="0D7C8F"/>
          <w:sz w:val="26"/>
          <w:szCs w:val="26"/>
        </w:rPr>
        <w:t xml:space="preserve">8.1 Carrier Liability</w:t>
      </w:r>
    </w:p>
    <w:p>
      <w:pPr>
        <w:spacing w:after="120"/>
        <w:jc w:val="left"/>
      </w:pPr>
      <w:r>
        <w:rPr>
          <w:rFonts w:ascii="Calibri" w:cs="Calibri" w:eastAsia="Calibri" w:hAnsi="Calibri"/>
          <w:b w:val="false"/>
          <w:bCs w:val="false"/>
          <w:i w:val="false"/>
          <w:iCs w:val="false"/>
          <w:color w:val="1F2937"/>
          <w:sz w:val="21"/>
          <w:szCs w:val="21"/>
        </w:rPr>
        <w:t xml:space="preserve">8.1.1. NinjaVan shall be liable for loss, damage, or destruction of Parcels from the time of collection until confirmed delivery or return to MCG.</w:t>
      </w:r>
    </w:p>
    <w:p>
      <w:pPr>
        <w:spacing w:after="120"/>
        <w:jc w:val="left"/>
      </w:pPr>
      <w:r>
        <w:rPr>
          <w:rFonts w:ascii="Calibri" w:cs="Calibri" w:eastAsia="Calibri" w:hAnsi="Calibri"/>
          <w:b w:val="false"/>
          <w:bCs w:val="false"/>
          <w:i w:val="false"/>
          <w:iCs w:val="false"/>
          <w:color w:val="1F2937"/>
          <w:sz w:val="21"/>
          <w:szCs w:val="21"/>
        </w:rPr>
        <w:t xml:space="preserve">8.1.2. Maximum liability per Parcel: SGD 500 unless additional insurance is purchased per the schedule in Section 4.2.</w:t>
      </w:r>
    </w:p>
    <w:p>
      <w:pPr>
        <w:spacing w:after="120"/>
        <w:jc w:val="left"/>
      </w:pPr>
      <w:r>
        <w:rPr>
          <w:rFonts w:ascii="Calibri" w:cs="Calibri" w:eastAsia="Calibri" w:hAnsi="Calibri"/>
          <w:b w:val="false"/>
          <w:bCs w:val="false"/>
          <w:i w:val="false"/>
          <w:iCs w:val="false"/>
          <w:color w:val="1F2937"/>
          <w:sz w:val="21"/>
          <w:szCs w:val="21"/>
        </w:rPr>
        <w:t xml:space="preserve">8.1.3. NinjaVan shall maintain the following insurance coverage throughout the term of this Agreement: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Commercial General Liability: SGD 5,000,000 per occurrence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Professional Indemnity: SGD 2,000,000 per occurrence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Workers' Compensation: as required by Singapore law</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Motor Vehicle Insurance: comprehensive coverage for all delivery vehicles</w:t>
      </w:r>
    </w:p>
    <w:p>
      <w:pPr>
        <w:spacing w:after="120" w:before="280"/>
      </w:pPr>
      <w:r>
        <w:rPr>
          <w:rFonts w:ascii="Calibri" w:cs="Calibri" w:eastAsia="Calibri" w:hAnsi="Calibri"/>
          <w:b/>
          <w:bCs/>
          <w:color w:val="0D7C8F"/>
          <w:sz w:val="26"/>
          <w:szCs w:val="26"/>
        </w:rPr>
        <w:t xml:space="preserve">8.2 MCG Declared Value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Declared Value Tier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Premium Rate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Maximum Payout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Claim Processing Time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Up to SGD 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Included in base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business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101 - 500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Included in base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business days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501 - 2,000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0.8% of declared value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2,000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business days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2,001 - 5,000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 of declared value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5,000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 business days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&gt; SGD 5,000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By special arrangement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As agreed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 business days</w:t>
            </w:r>
          </w:p>
        </w:tc>
      </w:tr>
    </w:tbl>
    <w:p>
      <w:pPr>
        <w:spacing w:after="120" w:before="280"/>
      </w:pPr>
      <w:r>
        <w:rPr>
          <w:rFonts w:ascii="Calibri" w:cs="Calibri" w:eastAsia="Calibri" w:hAnsi="Calibri"/>
          <w:b/>
          <w:bCs/>
          <w:color w:val="0D7C8F"/>
          <w:sz w:val="26"/>
          <w:szCs w:val="26"/>
        </w:rPr>
        <w:t xml:space="preserve">8.3 Indemnification</w:t>
      </w:r>
    </w:p>
    <w:p>
      <w:pPr>
        <w:spacing w:after="120"/>
        <w:jc w:val="left"/>
      </w:pPr>
      <w:r>
        <w:rPr>
          <w:rFonts w:ascii="Calibri" w:cs="Calibri" w:eastAsia="Calibri" w:hAnsi="Calibri"/>
          <w:b w:val="false"/>
          <w:bCs w:val="false"/>
          <w:i w:val="false"/>
          <w:iCs w:val="false"/>
          <w:color w:val="1F2937"/>
          <w:sz w:val="21"/>
          <w:szCs w:val="21"/>
        </w:rPr>
        <w:t xml:space="preserve">8.3.1. NinjaVan shall indemnify, defend, and hold harmless MCG, its officers, directors, employees, and agents from and against any and all claims, damages, losses, costs, and expenses (including reasonable legal fees) arising out of or relating to: (a) NinjaVan's breach of this Agreement; (b) NinjaVan's negligence or willful misconduct; (c) any injury to persons or damage to property caused by NinjaVan's employees or agents in the performance of delivery services.</w:t>
      </w:r>
    </w:p>
    <w:p>
      <w:pPr>
        <w:spacing w:after="120"/>
        <w:jc w:val="left"/>
      </w:pPr>
      <w:r>
        <w:rPr>
          <w:rFonts w:ascii="Calibri" w:cs="Calibri" w:eastAsia="Calibri" w:hAnsi="Calibri"/>
          <w:b w:val="false"/>
          <w:bCs w:val="false"/>
          <w:i w:val="false"/>
          <w:iCs w:val="false"/>
          <w:color w:val="1F2937"/>
          <w:sz w:val="21"/>
          <w:szCs w:val="21"/>
        </w:rPr>
        <w:t xml:space="preserve">8.3.2. MCG shall indemnify NinjaVan against claims arising from MCG's provision of incorrect Consignee information, undeclared hazardous materials, or packaging defects attributable to MCG.</w:t>
      </w:r>
    </w:p>
    <w:p>
      <w:pPr>
        <w:pBdr>
          <w:bottom w:val="single" w:color="0D7C8F" w:sz="2" w:space="4"/>
        </w:pBdr>
        <w:spacing w:after="160" w:before="360"/>
      </w:pPr>
      <w:r>
        <w:rPr>
          <w:rFonts w:ascii="Calibri" w:cs="Calibri" w:eastAsia="Calibri" w:hAnsi="Calibri"/>
          <w:b/>
          <w:bCs/>
          <w:color w:val="1B2A4A"/>
          <w:sz w:val="30"/>
          <w:szCs w:val="30"/>
        </w:rPr>
        <w:t xml:space="preserve">9. Dispute Resolution</w:t>
      </w:r>
    </w:p>
    <w:p>
      <w:pPr>
        <w:spacing w:after="120"/>
        <w:jc w:val="left"/>
      </w:pPr>
      <w:r>
        <w:rPr>
          <w:rFonts w:ascii="Calibri" w:cs="Calibri" w:eastAsia="Calibri" w:hAnsi="Calibri"/>
          <w:b w:val="false"/>
          <w:bCs w:val="false"/>
          <w:i w:val="false"/>
          <w:iCs w:val="false"/>
          <w:color w:val="1F2937"/>
          <w:sz w:val="21"/>
          <w:szCs w:val="21"/>
        </w:rPr>
        <w:t xml:space="preserve">9.1. Escalation Procedure: Any dispute arising under this Agreement shall first be referred to the operational contacts (Wei Lin Tan for MCG; James Chua for NinjaVan) for resolution within 10 Business Days.</w:t>
      </w:r>
    </w:p>
    <w:p>
      <w:pPr>
        <w:spacing w:after="120"/>
        <w:jc w:val="left"/>
      </w:pPr>
      <w:r>
        <w:rPr>
          <w:rFonts w:ascii="Calibri" w:cs="Calibri" w:eastAsia="Calibri" w:hAnsi="Calibri"/>
          <w:b w:val="false"/>
          <w:bCs w:val="false"/>
          <w:i w:val="false"/>
          <w:iCs w:val="false"/>
          <w:color w:val="1F2937"/>
          <w:sz w:val="21"/>
          <w:szCs w:val="21"/>
        </w:rPr>
        <w:t xml:space="preserve">9.2. Management Escalation: If unresolved, the dispute shall be escalated to senior management (VP level or above) for resolution within a further 15 Business Days.</w:t>
      </w:r>
    </w:p>
    <w:p>
      <w:pPr>
        <w:spacing w:after="120"/>
        <w:jc w:val="left"/>
      </w:pPr>
      <w:r>
        <w:rPr>
          <w:rFonts w:ascii="Calibri" w:cs="Calibri" w:eastAsia="Calibri" w:hAnsi="Calibri"/>
          <w:b w:val="false"/>
          <w:bCs w:val="false"/>
          <w:i w:val="false"/>
          <w:iCs w:val="false"/>
          <w:color w:val="1F2937"/>
          <w:sz w:val="21"/>
          <w:szCs w:val="21"/>
        </w:rPr>
        <w:t xml:space="preserve">9.3. Mediation: If the dispute remains unresolved after management escalation, the parties agree to submit the dispute to mediation under the Singapore Mediation Centre (SMC) Mediation Procedure.</w:t>
      </w:r>
    </w:p>
    <w:p>
      <w:pPr>
        <w:spacing w:after="120"/>
        <w:jc w:val="left"/>
      </w:pPr>
      <w:r>
        <w:rPr>
          <w:rFonts w:ascii="Calibri" w:cs="Calibri" w:eastAsia="Calibri" w:hAnsi="Calibri"/>
          <w:b w:val="false"/>
          <w:bCs w:val="false"/>
          <w:i w:val="false"/>
          <w:iCs w:val="false"/>
          <w:color w:val="1F2937"/>
          <w:sz w:val="21"/>
          <w:szCs w:val="21"/>
        </w:rPr>
        <w:t xml:space="preserve">9.4. Arbitration: If mediation is unsuccessful within 30 days, the dispute shall be finally resolved by arbitration administered by the Singapore International Arbitration Centre (SIAC) under the SIAC Administered Arbitration Rules. The arbitration shall be conducted in English by a sole arbitrator.</w:t>
      </w:r>
    </w:p>
    <w:p>
      <w:pPr>
        <w:spacing w:after="120"/>
        <w:jc w:val="left"/>
      </w:pPr>
      <w:r>
        <w:rPr>
          <w:rFonts w:ascii="Calibri" w:cs="Calibri" w:eastAsia="Calibri" w:hAnsi="Calibri"/>
          <w:b w:val="false"/>
          <w:bCs w:val="false"/>
          <w:i w:val="false"/>
          <w:iCs w:val="false"/>
          <w:color w:val="1F2937"/>
          <w:sz w:val="21"/>
          <w:szCs w:val="21"/>
        </w:rPr>
        <w:t xml:space="preserve">9.5. Governing Law: This Agreement shall be governed by and construed in accordance with the laws of the Republic of Singapore.</w:t>
      </w:r>
    </w:p>
    <w:p>
      <w:pPr>
        <w:pBdr>
          <w:bottom w:val="single" w:color="0D7C8F" w:sz="2" w:space="4"/>
        </w:pBdr>
        <w:spacing w:after="160" w:before="360"/>
      </w:pPr>
      <w:r>
        <w:rPr>
          <w:rFonts w:ascii="Calibri" w:cs="Calibri" w:eastAsia="Calibri" w:hAnsi="Calibri"/>
          <w:b/>
          <w:bCs/>
          <w:color w:val="1B2A4A"/>
          <w:sz w:val="30"/>
          <w:szCs w:val="30"/>
        </w:rPr>
        <w:t xml:space="preserve">10. Force Majeure</w:t>
      </w:r>
    </w:p>
    <w:p>
      <w:pPr>
        <w:spacing w:after="120"/>
        <w:jc w:val="left"/>
      </w:pPr>
      <w:r>
        <w:rPr>
          <w:rFonts w:ascii="Calibri" w:cs="Calibri" w:eastAsia="Calibri" w:hAnsi="Calibri"/>
          <w:b w:val="false"/>
          <w:bCs w:val="false"/>
          <w:i w:val="false"/>
          <w:iCs w:val="false"/>
          <w:color w:val="1F2937"/>
          <w:sz w:val="21"/>
          <w:szCs w:val="21"/>
        </w:rPr>
        <w:t xml:space="preserve">10.1. Neither party shall be liable for any failure or delay in performing its obligations under this Agreement if such failure or delay results from circumstances beyond the reasonable control of that party, including but not limited to: natural disasters, epidemics, pandemics, government actions, war, terrorism, civil unrest, strikes, fire, flood, earthquake, and failure of telecommunications or power supply.</w:t>
      </w:r>
    </w:p>
    <w:p>
      <w:pPr>
        <w:spacing w:after="120"/>
        <w:jc w:val="left"/>
      </w:pPr>
      <w:r>
        <w:rPr>
          <w:rFonts w:ascii="Calibri" w:cs="Calibri" w:eastAsia="Calibri" w:hAnsi="Calibri"/>
          <w:b w:val="false"/>
          <w:bCs w:val="false"/>
          <w:i w:val="false"/>
          <w:iCs w:val="false"/>
          <w:color w:val="1F2937"/>
          <w:sz w:val="21"/>
          <w:szCs w:val="21"/>
        </w:rPr>
        <w:t xml:space="preserve">10.2. The affected party shall give prompt written notice to the other party of the Force Majeure event and its expected duration.</w:t>
      </w:r>
    </w:p>
    <w:p>
      <w:pPr>
        <w:spacing w:after="120"/>
        <w:jc w:val="left"/>
      </w:pPr>
      <w:r>
        <w:rPr>
          <w:rFonts w:ascii="Calibri" w:cs="Calibri" w:eastAsia="Calibri" w:hAnsi="Calibri"/>
          <w:b w:val="false"/>
          <w:bCs w:val="false"/>
          <w:i w:val="false"/>
          <w:iCs w:val="false"/>
          <w:color w:val="1F2937"/>
          <w:sz w:val="21"/>
          <w:szCs w:val="21"/>
        </w:rPr>
        <w:t xml:space="preserve">10.3. If a Force Majeure event continues for more than 60 consecutive days, either party may terminate this Agreement upon 30 days written notice.</w:t>
      </w:r>
    </w:p>
    <w:p>
      <w:pPr>
        <w:spacing w:after="120"/>
        <w:jc w:val="left"/>
      </w:pPr>
      <w:r>
        <w:rPr>
          <w:rFonts w:ascii="Calibri" w:cs="Calibri" w:eastAsia="Calibri" w:hAnsi="Calibri"/>
          <w:b w:val="false"/>
          <w:bCs w:val="false"/>
          <w:i w:val="false"/>
          <w:iCs w:val="false"/>
          <w:color w:val="1F2937"/>
          <w:sz w:val="21"/>
          <w:szCs w:val="21"/>
        </w:rPr>
        <w:t xml:space="preserve">10.4. Notwithstanding the above, Force Majeure shall NOT excuse: (a) failure to provide timely notification of SLA changes; (b) failure to maintain tracking data feeds where NinjaVan systems are operational; (c) payment obligations for services already rendered.</w:t>
      </w:r>
    </w:p>
    <w:p>
      <w:pPr>
        <w:pBdr>
          <w:bottom w:val="single" w:color="0D7C8F" w:sz="2" w:space="4"/>
        </w:pBdr>
        <w:spacing w:after="160" w:before="360"/>
      </w:pPr>
      <w:r>
        <w:rPr>
          <w:rFonts w:ascii="Calibri" w:cs="Calibri" w:eastAsia="Calibri" w:hAnsi="Calibri"/>
          <w:b/>
          <w:bCs/>
          <w:color w:val="1B2A4A"/>
          <w:sz w:val="30"/>
          <w:szCs w:val="30"/>
        </w:rPr>
        <w:t xml:space="preserve">11. Termination</w:t>
      </w:r>
    </w:p>
    <w:p>
      <w:pPr>
        <w:spacing w:after="120"/>
        <w:jc w:val="left"/>
      </w:pPr>
      <w:r>
        <w:rPr>
          <w:rFonts w:ascii="Calibri" w:cs="Calibri" w:eastAsia="Calibri" w:hAnsi="Calibri"/>
          <w:b w:val="false"/>
          <w:bCs w:val="false"/>
          <w:i w:val="false"/>
          <w:iCs w:val="false"/>
          <w:color w:val="1F2937"/>
          <w:sz w:val="21"/>
          <w:szCs w:val="21"/>
        </w:rPr>
        <w:t xml:space="preserve">11.1. Term: This Amendment shall remain in effect for the duration of the Master Agreement (expiring 31 March 2026), unless terminated earlier in accordance with this Section.</w:t>
      </w:r>
    </w:p>
    <w:p>
      <w:pPr>
        <w:spacing w:after="120"/>
        <w:jc w:val="left"/>
      </w:pPr>
      <w:r>
        <w:rPr>
          <w:rFonts w:ascii="Calibri" w:cs="Calibri" w:eastAsia="Calibri" w:hAnsi="Calibri"/>
          <w:b w:val="false"/>
          <w:bCs w:val="false"/>
          <w:i w:val="false"/>
          <w:iCs w:val="false"/>
          <w:color w:val="1F2937"/>
          <w:sz w:val="21"/>
          <w:szCs w:val="21"/>
        </w:rPr>
        <w:t xml:space="preserve">11.2. Termination for Convenience: Either party may terminate this Agreement by providing 90 days written notice.</w:t>
      </w:r>
    </w:p>
    <w:p>
      <w:pPr>
        <w:spacing w:after="120"/>
        <w:jc w:val="left"/>
      </w:pPr>
      <w:r>
        <w:rPr>
          <w:rFonts w:ascii="Calibri" w:cs="Calibri" w:eastAsia="Calibri" w:hAnsi="Calibri"/>
          <w:b w:val="false"/>
          <w:bCs w:val="false"/>
          <w:i w:val="false"/>
          <w:iCs w:val="false"/>
          <w:color w:val="1F2937"/>
          <w:sz w:val="21"/>
          <w:szCs w:val="21"/>
        </w:rPr>
        <w:t xml:space="preserve">11.3. Termination for Cause: Either party may terminate immediately upon written notice if the other party: (a) commits a material breach that is not cured within 30 days of written notice; (b) becomes insolvent or files for bankruptcy; (c) is subject to a change of control.</w:t>
      </w:r>
    </w:p>
    <w:p>
      <w:pPr>
        <w:spacing w:after="120"/>
        <w:jc w:val="left"/>
      </w:pPr>
      <w:r>
        <w:rPr>
          <w:rFonts w:ascii="Calibri" w:cs="Calibri" w:eastAsia="Calibri" w:hAnsi="Calibri"/>
          <w:b w:val="false"/>
          <w:bCs w:val="false"/>
          <w:i w:val="false"/>
          <w:iCs w:val="false"/>
          <w:color w:val="1F2937"/>
          <w:sz w:val="21"/>
          <w:szCs w:val="21"/>
        </w:rPr>
        <w:t xml:space="preserve">11.4. Termination for Performance Failure: MCG may terminate with 30 days notice if any SLA metric remains more than 15 percentage points below target for three consecutive months (per Section 5.2).</w:t>
      </w:r>
    </w:p>
    <w:p>
      <w:pPr>
        <w:spacing w:after="120"/>
        <w:jc w:val="left"/>
      </w:pPr>
      <w:r>
        <w:rPr>
          <w:rFonts w:ascii="Calibri" w:cs="Calibri" w:eastAsia="Calibri" w:hAnsi="Calibri"/>
          <w:b w:val="false"/>
          <w:bCs w:val="false"/>
          <w:i w:val="false"/>
          <w:iCs w:val="false"/>
          <w:color w:val="1F2937"/>
          <w:sz w:val="21"/>
          <w:szCs w:val="21"/>
        </w:rPr>
        <w:t xml:space="preserve">11.5. Effect of Termination: Upon termination, NinjaVan shall complete delivery of all Parcels in transit at the time of termination. MCG shall pay for all services rendered through the effective date of termination, subject to applicable penalty deductions.</w:t>
      </w:r>
    </w:p>
    <w:p>
      <w:pPr>
        <w:pBdr>
          <w:bottom w:val="single" w:color="0D7C8F" w:sz="2" w:space="4"/>
        </w:pBdr>
        <w:spacing w:after="160" w:before="360"/>
      </w:pPr>
      <w:r>
        <w:rPr>
          <w:rFonts w:ascii="Calibri" w:cs="Calibri" w:eastAsia="Calibri" w:hAnsi="Calibri"/>
          <w:b/>
          <w:bCs/>
          <w:color w:val="1B2A4A"/>
          <w:sz w:val="30"/>
          <w:szCs w:val="30"/>
        </w:rPr>
        <w:t xml:space="preserve">12. Confidentiality</w:t>
      </w:r>
    </w:p>
    <w:p>
      <w:pPr>
        <w:spacing w:after="120"/>
        <w:jc w:val="left"/>
      </w:pPr>
      <w:r>
        <w:rPr>
          <w:rFonts w:ascii="Calibri" w:cs="Calibri" w:eastAsia="Calibri" w:hAnsi="Calibri"/>
          <w:b w:val="false"/>
          <w:bCs w:val="false"/>
          <w:i w:val="false"/>
          <w:iCs w:val="false"/>
          <w:color w:val="1F2937"/>
          <w:sz w:val="21"/>
          <w:szCs w:val="21"/>
        </w:rPr>
        <w:t xml:space="preserve">12.1. Each party agrees to maintain the confidentiality of all Confidential Information disclosed by the other party, including but not limited to: pricing, volume data, customer information, technology systems, and business strategies.</w:t>
      </w:r>
    </w:p>
    <w:p>
      <w:pPr>
        <w:spacing w:after="120"/>
        <w:jc w:val="left"/>
      </w:pPr>
      <w:r>
        <w:rPr>
          <w:rFonts w:ascii="Calibri" w:cs="Calibri" w:eastAsia="Calibri" w:hAnsi="Calibri"/>
          <w:b w:val="false"/>
          <w:bCs w:val="false"/>
          <w:i w:val="false"/>
          <w:iCs w:val="false"/>
          <w:color w:val="1F2937"/>
          <w:sz w:val="21"/>
          <w:szCs w:val="21"/>
        </w:rPr>
        <w:t xml:space="preserve">12.2. Confidentiality obligations shall survive termination of this Agreement for a period of 3 years.</w:t>
      </w:r>
    </w:p>
    <w:p>
      <w:pPr>
        <w:spacing w:after="120"/>
        <w:jc w:val="left"/>
      </w:pPr>
      <w:r>
        <w:rPr>
          <w:rFonts w:ascii="Calibri" w:cs="Calibri" w:eastAsia="Calibri" w:hAnsi="Calibri"/>
          <w:b w:val="false"/>
          <w:bCs w:val="false"/>
          <w:i w:val="false"/>
          <w:iCs w:val="false"/>
          <w:color w:val="1F2937"/>
          <w:sz w:val="21"/>
          <w:szCs w:val="21"/>
        </w:rPr>
        <w:t xml:space="preserve">12.3. Permitted Disclosures: A party may disclose Confidential Information to its employees, contractors, and advisors on a need-to-know basis, provided such recipients are bound by confidentiality obligations no less restrictive than those herein.</w:t>
      </w:r>
    </w:p>
    <w:p>
      <w:pPr>
        <w:pBdr>
          <w:bottom w:val="single" w:color="0D7C8F" w:sz="2" w:space="4"/>
        </w:pBdr>
        <w:spacing w:after="160" w:before="360"/>
      </w:pPr>
      <w:r>
        <w:rPr>
          <w:rFonts w:ascii="Calibri" w:cs="Calibri" w:eastAsia="Calibri" w:hAnsi="Calibri"/>
          <w:b/>
          <w:bCs/>
          <w:color w:val="1B2A4A"/>
          <w:sz w:val="30"/>
          <w:szCs w:val="30"/>
        </w:rPr>
        <w:t xml:space="preserve">13. Contact Details</w:t>
      </w:r>
    </w:p>
    <w:p>
      <w:pPr>
        <w:spacing w:after="120" w:before="280"/>
      </w:pPr>
      <w:r>
        <w:rPr>
          <w:rFonts w:ascii="Calibri" w:cs="Calibri" w:eastAsia="Calibri" w:hAnsi="Calibri"/>
          <w:b/>
          <w:bCs/>
          <w:color w:val="0D7C8F"/>
          <w:sz w:val="26"/>
          <w:szCs w:val="26"/>
        </w:rPr>
        <w:t xml:space="preserve">13.1 MCG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Name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Email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Phone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Regional Logistics Manager APAC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Wei Lin Tan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wltan@meridiancommerce.com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+65 6234 8801</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E-Commerce Operations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Priya Ramanathan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pramanathan@meridiancommerce.com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+65 6234 8815</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APAC Finance Controller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David Loh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dloh@meridiancommerce.com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+65 6234 8820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Legal Counsel, APAC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Rachel Goh</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rgoh@meridiancommerce.com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+65 6234 8830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Thomas Brennan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tbrennan@meridiancommerce.com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+31 10 798 4100</w:t>
            </w:r>
          </w:p>
        </w:tc>
      </w:tr>
    </w:tbl>
    <w:p>
      <w:pPr>
        <w:spacing w:after="120" w:before="280"/>
      </w:pPr>
      <w:r>
        <w:rPr>
          <w:rFonts w:ascii="Calibri" w:cs="Calibri" w:eastAsia="Calibri" w:hAnsi="Calibri"/>
          <w:b/>
          <w:bCs/>
          <w:color w:val="0D7C8F"/>
          <w:sz w:val="26"/>
          <w:szCs w:val="26"/>
        </w:rPr>
        <w:t xml:space="preserve">13.2 NinjaVan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Name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Email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Phone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 Account Director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James Chua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james.chua@ninjavan.co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+65 9123 4567</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Operations Manager, Singapore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Michelle Lim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michelle.lim@ninjavan.co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+65 9234 5678</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Technical Integration Lead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Aaron Tan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aaron.tan@ninjavan.co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+65 9345 6789</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Finance &amp; Billing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Karen Wong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karen.wong@ninjavan.co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+65 9456 7890</w:t>
            </w:r>
          </w:p>
        </w:tc>
      </w:tr>
    </w:tbl>
    <w:p>
      <w:pPr>
        <w:pBdr>
          <w:bottom w:val="single" w:color="0D7C8F" w:sz="2" w:space="4"/>
        </w:pBdr>
        <w:spacing w:after="160" w:before="360"/>
      </w:pPr>
      <w:r>
        <w:rPr>
          <w:rFonts w:ascii="Calibri" w:cs="Calibri" w:eastAsia="Calibri" w:hAnsi="Calibri"/>
          <w:b/>
          <w:bCs/>
          <w:color w:val="1B2A4A"/>
          <w:sz w:val="30"/>
          <w:szCs w:val="30"/>
        </w:rPr>
        <w:t xml:space="preserve">14. General Provisions</w:t>
      </w:r>
    </w:p>
    <w:p>
      <w:pPr>
        <w:spacing w:after="120"/>
        <w:jc w:val="left"/>
      </w:pPr>
      <w:r>
        <w:rPr>
          <w:rFonts w:ascii="Calibri" w:cs="Calibri" w:eastAsia="Calibri" w:hAnsi="Calibri"/>
          <w:b w:val="false"/>
          <w:bCs w:val="false"/>
          <w:i w:val="false"/>
          <w:iCs w:val="false"/>
          <w:color w:val="1F2937"/>
          <w:sz w:val="21"/>
          <w:szCs w:val="21"/>
        </w:rPr>
        <w:t xml:space="preserve">14.1. Entire Agreement: This Amendment, together with the Master Agreement and all prior Amendments, constitutes the entire agreement between the parties with respect to the subject matter hereof.</w:t>
      </w:r>
    </w:p>
    <w:p>
      <w:pPr>
        <w:spacing w:after="120"/>
        <w:jc w:val="left"/>
      </w:pPr>
      <w:r>
        <w:rPr>
          <w:rFonts w:ascii="Calibri" w:cs="Calibri" w:eastAsia="Calibri" w:hAnsi="Calibri"/>
          <w:b w:val="false"/>
          <w:bCs w:val="false"/>
          <w:i w:val="false"/>
          <w:iCs w:val="false"/>
          <w:color w:val="1F2937"/>
          <w:sz w:val="21"/>
          <w:szCs w:val="21"/>
        </w:rPr>
        <w:t xml:space="preserve">14.2. Severability: If any provision of this Amendment is found to be invalid or unenforceable, the remaining provisions shall continue in full force and effect.</w:t>
      </w:r>
    </w:p>
    <w:p>
      <w:pPr>
        <w:spacing w:after="120"/>
        <w:jc w:val="left"/>
      </w:pPr>
      <w:r>
        <w:rPr>
          <w:rFonts w:ascii="Calibri" w:cs="Calibri" w:eastAsia="Calibri" w:hAnsi="Calibri"/>
          <w:b w:val="false"/>
          <w:bCs w:val="false"/>
          <w:i w:val="false"/>
          <w:iCs w:val="false"/>
          <w:color w:val="1F2937"/>
          <w:sz w:val="21"/>
          <w:szCs w:val="21"/>
        </w:rPr>
        <w:t xml:space="preserve">14.3. Notices: All notices under this Agreement shall be in writing and delivered by registered mail, courier, or email to the addresses specified in Section 13.</w:t>
      </w:r>
    </w:p>
    <w:p>
      <w:pPr>
        <w:spacing w:after="120"/>
        <w:jc w:val="left"/>
      </w:pPr>
      <w:r>
        <w:rPr>
          <w:rFonts w:ascii="Calibri" w:cs="Calibri" w:eastAsia="Calibri" w:hAnsi="Calibri"/>
          <w:b w:val="false"/>
          <w:bCs w:val="false"/>
          <w:i w:val="false"/>
          <w:iCs w:val="false"/>
          <w:color w:val="1F2937"/>
          <w:sz w:val="21"/>
          <w:szCs w:val="21"/>
        </w:rPr>
        <w:t xml:space="preserve">14.4. Waiver: No failure or delay by either party in exercising any right shall constitute a waiver of that right.</w:t>
      </w:r>
    </w:p>
    <w:p>
      <w:pPr>
        <w:spacing w:after="120"/>
        <w:jc w:val="left"/>
      </w:pPr>
      <w:r>
        <w:rPr>
          <w:rFonts w:ascii="Calibri" w:cs="Calibri" w:eastAsia="Calibri" w:hAnsi="Calibri"/>
          <w:b w:val="false"/>
          <w:bCs w:val="false"/>
          <w:i w:val="false"/>
          <w:iCs w:val="false"/>
          <w:color w:val="1F2937"/>
          <w:sz w:val="21"/>
          <w:szCs w:val="21"/>
        </w:rPr>
        <w:t xml:space="preserve">14.5. Assignment: Neither party may assign this Agreement without the prior written consent of the other party, except in connection with a merger, acquisition, or sale of substantially all assets.</w:t>
      </w:r>
    </w:p>
    <w:p>
      <w:pPr>
        <w:spacing w:after="120"/>
        <w:jc w:val="left"/>
      </w:pPr>
      <w:r>
        <w:rPr>
          <w:rFonts w:ascii="Calibri" w:cs="Calibri" w:eastAsia="Calibri" w:hAnsi="Calibri"/>
          <w:b w:val="false"/>
          <w:bCs w:val="false"/>
          <w:i w:val="false"/>
          <w:iCs w:val="false"/>
          <w:color w:val="1F2937"/>
          <w:sz w:val="21"/>
          <w:szCs w:val="21"/>
        </w:rPr>
        <w:t xml:space="preserve">14.6. Counterparts: This Amendment may be executed in counterparts, each of which shall be deemed an original.</w:t>
      </w:r>
    </w:p>
    <w:p>
      <w:pPr>
        <w:pBdr>
          <w:bottom w:val="single" w:color="0D7C8F" w:sz="2" w:space="4"/>
        </w:pBdr>
        <w:spacing w:after="160" w:before="360"/>
      </w:pPr>
      <w:r>
        <w:rPr>
          <w:rFonts w:ascii="Calibri" w:cs="Calibri" w:eastAsia="Calibri" w:hAnsi="Calibri"/>
          <w:b/>
          <w:bCs/>
          <w:color w:val="1B2A4A"/>
          <w:sz w:val="30"/>
          <w:szCs w:val="30"/>
        </w:rPr>
        <w:t xml:space="preserve">15. Execution</w:t>
      </w:r>
    </w:p>
    <w:p>
      <w:pPr>
        <w:spacing w:after="120"/>
        <w:jc w:val="left"/>
      </w:pPr>
      <w:r>
        <w:rPr>
          <w:rFonts w:ascii="Calibri" w:cs="Calibri" w:eastAsia="Calibri" w:hAnsi="Calibri"/>
          <w:b w:val="false"/>
          <w:bCs w:val="false"/>
          <w:i w:val="false"/>
          <w:iCs w:val="false"/>
          <w:color w:val="1F2937"/>
          <w:sz w:val="21"/>
          <w:szCs w:val="21"/>
        </w:rPr>
        <w:t xml:space="preserve">IN WITNESS WHEREOF, the parties have caused this Amendment to be executed by their duly authorized representatives as of the date first written above.</w:t>
      </w:r>
    </w:p>
    <w:p>
      <w:pPr>
        <w:spacing w:after="120"/>
        <w:jc w:val="left"/>
      </w:pPr>
      <w:r>
        <w:rPr>
          <w:rFonts w:ascii="Calibri" w:cs="Calibri" w:eastAsia="Calibri" w:hAnsi="Calibri"/>
          <w:b w:val="false"/>
          <w:bCs w:val="false"/>
          <w:i w:val="false"/>
          <w:iCs w:val="false"/>
          <w:color w:val="1F2937"/>
          <w:sz w:val="21"/>
          <w:szCs w:val="21"/>
        </w:rPr>
        <w:t xml:space="preserve">Date of Execution: 18 September 2025</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Wei Lin Tan</w:t>
      </w:r>
    </w:p>
    <w:p>
      <w:pPr>
        <w:spacing w:after="0"/>
      </w:pPr>
      <w:r>
        <w:rPr>
          <w:rFonts w:ascii="Calibri" w:cs="Calibri" w:eastAsia="Calibri" w:hAnsi="Calibri"/>
          <w:color w:val="6B7280"/>
          <w:sz w:val="19"/>
          <w:szCs w:val="19"/>
        </w:rPr>
        <w:t xml:space="preserve">Regional Logistics Manager, APAC</w:t>
      </w:r>
    </w:p>
    <w:p>
      <w:pPr>
        <w:spacing w:after="0"/>
      </w:pPr>
      <w:r>
        <w:rPr>
          <w:rFonts w:ascii="Calibri" w:cs="Calibri" w:eastAsia="Calibri" w:hAnsi="Calibri"/>
          <w:i/>
          <w:iCs/>
          <w:color w:val="6B7280"/>
          <w:sz w:val="19"/>
          <w:szCs w:val="19"/>
        </w:rPr>
        <w:t xml:space="preserve">Meridian Commerce Group Pte. Ltd.</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James Chua</w:t>
      </w:r>
    </w:p>
    <w:p>
      <w:pPr>
        <w:spacing w:after="0"/>
      </w:pPr>
      <w:r>
        <w:rPr>
          <w:rFonts w:ascii="Calibri" w:cs="Calibri" w:eastAsia="Calibri" w:hAnsi="Calibri"/>
          <w:color w:val="6B7280"/>
          <w:sz w:val="19"/>
          <w:szCs w:val="19"/>
        </w:rPr>
        <w:t xml:space="preserve">Enterprise Account Director</w:t>
      </w:r>
    </w:p>
    <w:p>
      <w:pPr>
        <w:spacing w:after="0"/>
      </w:pPr>
      <w:r>
        <w:rPr>
          <w:rFonts w:ascii="Calibri" w:cs="Calibri" w:eastAsia="Calibri" w:hAnsi="Calibri"/>
          <w:i/>
          <w:iCs/>
          <w:color w:val="6B7280"/>
          <w:sz w:val="19"/>
          <w:szCs w:val="19"/>
        </w:rPr>
        <w:t xml:space="preserve">NinjaVan Pte. Ltd.</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 (Countersignature)</w:t>
      </w:r>
    </w:p>
    <w:p>
      <w:pPr>
        <w:spacing w:after="0"/>
      </w:pPr>
      <w:r>
        <w:rPr>
          <w:rFonts w:ascii="Calibri" w:cs="Calibri" w:eastAsia="Calibri" w:hAnsi="Calibri"/>
          <w:i/>
          <w:iCs/>
          <w:color w:val="6B7280"/>
          <w:sz w:val="19"/>
          <w:szCs w:val="19"/>
        </w:rPr>
        <w:t xml:space="preserve">Meridian Commerce Group</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Lai Chee Ng</w:t>
      </w:r>
    </w:p>
    <w:p>
      <w:pPr>
        <w:spacing w:after="0"/>
      </w:pPr>
      <w:r>
        <w:rPr>
          <w:rFonts w:ascii="Calibri" w:cs="Calibri" w:eastAsia="Calibri" w:hAnsi="Calibri"/>
          <w:color w:val="6B7280"/>
          <w:sz w:val="19"/>
          <w:szCs w:val="19"/>
        </w:rPr>
        <w:t xml:space="preserve">SVP Enterprise Accounts (Countersignature)</w:t>
      </w:r>
    </w:p>
    <w:p>
      <w:pPr>
        <w:spacing w:after="0"/>
      </w:pPr>
      <w:r>
        <w:rPr>
          <w:rFonts w:ascii="Calibri" w:cs="Calibri" w:eastAsia="Calibri" w:hAnsi="Calibri"/>
          <w:i/>
          <w:iCs/>
          <w:color w:val="6B7280"/>
          <w:sz w:val="19"/>
          <w:szCs w:val="19"/>
        </w:rPr>
        <w:t xml:space="preserve">NinjaVan Pte. Ltd.</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CONTRACT AMENDMENT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2026-08-27T22:56:11.245Z</dcterms:created>
  <dcterms:modified xsi:type="dcterms:W3CDTF">2026-08-27T22:56:11.249Z</dcterms:modified>
</cp:coreProperties>
</file>

<file path=docProps/custom.xml><?xml version="1.0" encoding="utf-8"?>
<Properties xmlns="http://schemas.openxmlformats.org/officeDocument/2006/custom-properties" xmlns:vt="http://schemas.openxmlformats.org/officeDocument/2006/docPropsVTypes"/>
</file>