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COMP-2025-NVWA: Corrective Action Plan — NVWA Citation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COMP-2025-NVWA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NVWA Citation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NVWA-2025-CIT-04412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Citation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Response Submitted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Elena Vasquez, Chief Compliance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NVWA Inspector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Ir. Jan Willem Koster, Senior Inspector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Status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 Progress — 3 of 5 actions on track, 1 at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Inspection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Expected Q1 2026</w:t>
            </w:r>
          </w:p>
        </w:tc>
      </w:tr>
    </w:tbl>
    <w:p>
      <w:pPr>
        <w:pBdr>
          <w:bottom w:val="single" w:color="0D7C8F" w:sz="2" w:space="4"/>
        </w:pBdr>
        <w:spacing w:after="160" w:before="360"/>
      </w:pPr>
      <w:r>
        <w:rPr>
          <w:rFonts w:ascii="Calibri" w:cs="Calibri" w:eastAsia="Calibri" w:hAnsi="Calibri"/>
          <w:b/>
          <w:bCs/>
          <w:color w:val="1B2A4A"/>
          <w:sz w:val="30"/>
          <w:szCs w:val="30"/>
        </w:rPr>
        <w:t xml:space="preserve">1. Citation Summary</w:t>
      </w:r>
    </w:p>
    <w:p>
      <w:pPr>
        <w:spacing w:after="120"/>
        <w:jc w:val="left"/>
      </w:pPr>
      <w:r>
        <w:rPr>
          <w:rFonts w:ascii="Calibri" w:cs="Calibri" w:eastAsia="Calibri" w:hAnsi="Calibri"/>
          <w:b w:val="false"/>
          <w:bCs w:val="false"/>
          <w:i w:val="false"/>
          <w:iCs w:val="false"/>
          <w:color w:val="1F2937"/>
          <w:sz w:val="21"/>
          <w:szCs w:val="21"/>
        </w:rPr>
        <w:t xml:space="preserve">On 12 June 2025, the Netherlands Food and Consumer Product Safety Authority (NVWA) conducted a routine inspection at MCG's Rotterdam Distribution Center (Europaweg 120, 3199 LD Rotterdam). The inspection coincided with the ongoing recall of organic butter lettuce (RCL-2025-003) and identified 5 findings: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Finding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Regulation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not consistently captured at goods receipt — free-text field allowed blank entries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Unable to complete product trace within 24 hours — took 11 days during active recall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Significant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missing for 12% of fresh produce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EC 1169/2011 Art. 26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Significant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Sub-tier supplier relationships not documented for 64% of food suppliers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Observation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Inconsistent timestamp formats in temperature records across WMS and IoT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HACCP documentation standards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two Major findings (F1, F2) require corrective action within 6 months or MCG risks escalation to enforcement proceedings, which could include production restrictions or facility closure orders.</w:t>
            </w:r>
          </w:p>
        </w:tc>
      </w:tr>
    </w:tbl>
    <w:p>
      <w:pPr>
        <w:pBdr>
          <w:bottom w:val="single" w:color="0D7C8F" w:sz="2" w:space="4"/>
        </w:pBdr>
        <w:spacing w:after="160" w:before="360"/>
      </w:pPr>
      <w:r>
        <w:rPr>
          <w:rFonts w:ascii="Calibri" w:cs="Calibri" w:eastAsia="Calibri" w:hAnsi="Calibri"/>
          <w:b/>
          <w:bCs/>
          <w:color w:val="1B2A4A"/>
          <w:sz w:val="30"/>
          <w:szCs w:val="30"/>
        </w:rPr>
        <w:t xml:space="preserve">2. Corrective Action Status</w:t>
      </w:r>
    </w:p>
    <w:p>
      <w:pPr>
        <w:spacing w:after="120" w:before="280"/>
      </w:pPr>
      <w:r>
        <w:rPr>
          <w:rFonts w:ascii="Calibri" w:cs="Calibri" w:eastAsia="Calibri" w:hAnsi="Calibri"/>
          <w:b/>
          <w:bCs/>
          <w:color w:val="0D7C8F"/>
          <w:sz w:val="26"/>
          <w:szCs w:val="26"/>
        </w:rPr>
        <w:t xml:space="preserve">2.1 Action 1: Lot Number Capture (F1)</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100% lot capture for all food products at all food-handling DCs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October 2025</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93% complete — On Track</w:t>
      </w:r>
    </w:p>
    <w:p>
      <w:pPr>
        <w:spacing w:after="120"/>
        <w:jc w:val="left"/>
      </w:pPr>
      <w:r>
        <w:rPr>
          <w:rFonts w:ascii="Calibri" w:cs="Calibri" w:eastAsia="Calibri" w:hAnsi="Calibri"/>
          <w:b w:val="false"/>
          <w:bCs w:val="false"/>
          <w:i w:val="false"/>
          <w:iCs w:val="false"/>
          <w:color w:val="1F2937"/>
          <w:sz w:val="21"/>
          <w:szCs w:val="21"/>
        </w:rPr>
        <w:t xml:space="preserve">Changes implemented: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goods receipt forms converted from free-text to structured input with mandatory validation — blank lot numbers now blocked at system level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Barcode scanning now required for lot entry at 24 of 28 food-handling DCs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Remaining 7% gap: 4 legacy warehouse locations (Rotterdam Zone C, Antwerp Annex, Hamburg Cold Store, Milan Fresh Wing) using older Symbol MC9190 handheld scanners that require firmware update to support the new structured input format</w:t>
      </w:r>
    </w:p>
    <w:p>
      <w:pPr>
        <w:spacing w:after="80"/>
      </w:pPr>
      <w:r>
        <w:rPr>
          <w:rFonts w:ascii="Calibri" w:cs="Calibri" w:eastAsia="Calibri" w:hAnsi="Calibri"/>
          <w:b/>
          <w:bCs/>
          <w:color w:val="1B2A4A"/>
          <w:sz w:val="21"/>
          <w:szCs w:val="21"/>
        </w:rPr>
        <w:t xml:space="preserve">Firmware Update Schedule: </w:t>
      </w:r>
      <w:r>
        <w:rPr>
          <w:rFonts w:ascii="Calibri" w:cs="Calibri" w:eastAsia="Calibri" w:hAnsi="Calibri"/>
          <w:color w:val="1F2937"/>
          <w:sz w:val="21"/>
          <w:szCs w:val="21"/>
        </w:rPr>
        <w:t xml:space="preserve">Rotterdam Zone C: 10 Oct, Antwerp: 17 Oct, Hamburg: 24 Oct, Milan: 31 Oct</w:t>
      </w:r>
    </w:p>
    <w:p>
      <w:pPr>
        <w:spacing w:after="120" w:before="280"/>
      </w:pPr>
      <w:r>
        <w:rPr>
          <w:rFonts w:ascii="Calibri" w:cs="Calibri" w:eastAsia="Calibri" w:hAnsi="Calibri"/>
          <w:b/>
          <w:bCs/>
          <w:color w:val="0D7C8F"/>
          <w:sz w:val="26"/>
          <w:szCs w:val="26"/>
        </w:rPr>
        <w:t xml:space="preserve">2.2 Action 2: Store-Level Lot Tracking (F2)</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90% lot-level tracking at retail stores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March 2026</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78% complete — In Progress</w:t>
      </w:r>
    </w:p>
    <w:p>
      <w:pPr>
        <w:spacing w:after="120"/>
        <w:jc w:val="left"/>
      </w:pPr>
      <w:r>
        <w:rPr>
          <w:rFonts w:ascii="Calibri" w:cs="Calibri" w:eastAsia="Calibri" w:hAnsi="Calibri"/>
          <w:b w:val="false"/>
          <w:bCs w:val="false"/>
          <w:i w:val="false"/>
          <w:iCs w:val="false"/>
          <w:color w:val="1F2937"/>
          <w:sz w:val="21"/>
          <w:szCs w:val="21"/>
        </w:rPr>
        <w:t xml:space="preserve">Store POS systems being updated to scan and record lot numbers at receipt. Current rollout: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Store 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Total Stores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Upgraded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Pending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Complete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Hypermarket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Supermarket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r>
    </w:tbl>
    <w:p>
      <w:pPr>
        <w:spacing w:after="120"/>
        <w:jc w:val="left"/>
      </w:pPr>
      <w:r>
        <w:rPr>
          <w:rFonts w:ascii="Calibri" w:cs="Calibri" w:eastAsia="Calibri" w:hAnsi="Calibri"/>
          <w:b w:val="false"/>
          <w:bCs w:val="false"/>
          <w:i w:val="false"/>
          <w:iCs w:val="false"/>
          <w:color w:val="1F2937"/>
          <w:sz w:val="21"/>
          <w:szCs w:val="21"/>
        </w:rPr>
        <w:t xml:space="preserve">The MCG Express format stores require a POS hardware upgrade (current terminals lack barcode scanning capability for lot numbers). Hardware procurement is approved; installation scheduled for November 2025 — February 2026.</w:t>
      </w:r>
    </w:p>
    <w:p>
      <w:pPr>
        <w:spacing w:after="120" w:before="280"/>
      </w:pPr>
      <w:r>
        <w:rPr>
          <w:rFonts w:ascii="Calibri" w:cs="Calibri" w:eastAsia="Calibri" w:hAnsi="Calibri"/>
          <w:b/>
          <w:bCs/>
          <w:color w:val="0D7C8F"/>
          <w:sz w:val="26"/>
          <w:szCs w:val="26"/>
        </w:rPr>
        <w:t xml:space="preserve">2.3 Action 3: Unified Traceability (F2)</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Single-query traceability across SAP, WMS, TMS, and Salesforce Commerce</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Dependent on Project Qlarity Phase 1</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Business case submitted — Pending CIO approval (31 October 2025)</w:t>
      </w:r>
    </w:p>
    <w:p>
      <w:pPr>
        <w:spacing w:after="120"/>
        <w:jc w:val="left"/>
      </w:pPr>
      <w:r>
        <w:rPr>
          <w:rFonts w:ascii="Calibri" w:cs="Calibri" w:eastAsia="Calibri" w:hAnsi="Calibri"/>
          <w:b w:val="false"/>
          <w:bCs w:val="false"/>
          <w:i w:val="false"/>
          <w:iCs w:val="false"/>
          <w:color w:val="1F2937"/>
          <w:sz w:val="21"/>
          <w:szCs w:val="21"/>
        </w:rPr>
        <w:t xml:space="preserve">This corrective action depends on the implementation of Project Qlarity, which will create a unified data layer connecting all 4 traceability systems via Qlik Talend Cloud CDC pipelines and a Qlik Open Lakehouse. The business case ($12.4M over 24 months) was presented to senior leadership on 15 October 2025.</w:t>
      </w:r>
    </w:p>
    <w:p>
      <w:pPr>
        <w:spacing w:after="120"/>
        <w:jc w:val="left"/>
      </w:pPr>
      <w:r>
        <w:rPr>
          <w:rFonts w:ascii="Calibri" w:cs="Calibri" w:eastAsia="Calibri" w:hAnsi="Calibri"/>
          <w:b w:val="false"/>
          <w:bCs w:val="false"/>
          <w:i w:val="false"/>
          <w:iCs w:val="false"/>
          <w:color w:val="1F2937"/>
          <w:sz w:val="21"/>
          <w:szCs w:val="21"/>
        </w:rPr>
        <w:t xml:space="preserve">If approved, the traceability data product (Phase 1) would be operational by Q3 2026, enabling single-query lot-to-store tracing in under 1 hour.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NVWA PREPARATION: For the Q1 2026 follow-up inspection, MCG must demonstrate at minimum an approved project plan with committed timeline and budget. A verbal commitment is not sufficient — the inspector will expect a signed project charter and evidence of vendor engagement.</w:t>
            </w:r>
          </w:p>
        </w:tc>
      </w:tr>
    </w:tbl>
    <w:p>
      <w:pPr>
        <w:spacing w:after="120" w:before="280"/>
      </w:pPr>
      <w:r>
        <w:rPr>
          <w:rFonts w:ascii="Calibri" w:cs="Calibri" w:eastAsia="Calibri" w:hAnsi="Calibri"/>
          <w:b/>
          <w:bCs/>
          <w:color w:val="0D7C8F"/>
          <w:sz w:val="26"/>
          <w:szCs w:val="26"/>
        </w:rPr>
        <w:t xml:space="preserve">2.4 Action 4: Sub-Tier Supplier Mapping (F4)</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80% of food suppliers with documented sub-tier relationships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January 2026</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36% complete — AT RISK ⚠</w:t>
      </w:r>
    </w:p>
    <w:p>
      <w:pPr>
        <w:spacing w:after="120"/>
        <w:jc w:val="left"/>
      </w:pPr>
      <w:r>
        <w:rPr>
          <w:rFonts w:ascii="Calibri" w:cs="Calibri" w:eastAsia="Calibri" w:hAnsi="Calibri"/>
          <w:b w:val="false"/>
          <w:bCs w:val="false"/>
          <w:i w:val="false"/>
          <w:iCs w:val="false"/>
          <w:color w:val="1F2937"/>
          <w:sz w:val="21"/>
          <w:szCs w:val="21"/>
        </w:rPr>
        <w:t xml:space="preserve">This action is significantly behind schedule. Progress by supplier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Mapped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Complete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Sub-tier farm confidentiality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Complex supply chains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Multi-tier processing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Low priority (lower risk category)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Other food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Resource constraints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Many suppliers cite commercial confidentiality when asked to disclose sub-tier relationships. The Fresh Direct lettuce recall (RCL-2025-003) demonstrated the risk: the contaminated farm (FARM-NL-0042) was an undisclosed backup supplier with an expired HACCP certification. MCG Legal is evaluating whether to mandate sub-tier disclosure as a contract requirement for all food suppliers.</w:t>
            </w:r>
          </w:p>
        </w:tc>
      </w:tr>
    </w:tbl>
    <w:p>
      <w:pPr>
        <w:spacing w:after="120" w:before="280"/>
      </w:pPr>
      <w:r>
        <w:rPr>
          <w:rFonts w:ascii="Calibri" w:cs="Calibri" w:eastAsia="Calibri" w:hAnsi="Calibri"/>
          <w:b/>
          <w:bCs/>
          <w:color w:val="0D7C8F"/>
          <w:sz w:val="26"/>
          <w:szCs w:val="26"/>
        </w:rPr>
        <w:t xml:space="preserve">2.5 Action 5: Country of Origin Compliance (F3)</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100% country of origin for fresh produce SKUs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November 2025</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88% complete — On Track</w:t>
      </w:r>
    </w:p>
    <w:p>
      <w:pPr>
        <w:spacing w:after="120"/>
        <w:jc w:val="left"/>
      </w:pPr>
      <w:r>
        <w:rPr>
          <w:rFonts w:ascii="Calibri" w:cs="Calibri" w:eastAsia="Calibri" w:hAnsi="Calibri"/>
          <w:b w:val="false"/>
          <w:bCs w:val="false"/>
          <w:i w:val="false"/>
          <w:iCs w:val="false"/>
          <w:color w:val="1F2937"/>
          <w:sz w:val="21"/>
          <w:szCs w:val="21"/>
        </w:rPr>
        <w:t xml:space="preserve">Procurement has updated supplier requirements to mandate country of origin on all delivery documentation. The remaining 12% gap consists of 47 SKUs sourced from multi-origin suppliers where country of origin varies by shipment and season (e.g., tomatoes sourced from Spain in summer, Morocco in winter). A dynamic origin tracking process is being developed.</w:t>
      </w:r>
    </w:p>
    <w:p>
      <w:pPr>
        <w:pBdr>
          <w:bottom w:val="single" w:color="0D7C8F" w:sz="2" w:space="4"/>
        </w:pBdr>
        <w:spacing w:after="160" w:before="360"/>
      </w:pPr>
      <w:r>
        <w:rPr>
          <w:rFonts w:ascii="Calibri" w:cs="Calibri" w:eastAsia="Calibri" w:hAnsi="Calibri"/>
          <w:b/>
          <w:bCs/>
          <w:color w:val="1B2A4A"/>
          <w:sz w:val="30"/>
          <w:szCs w:val="30"/>
        </w:rPr>
        <w:t xml:space="preserve">3. Evidence File for Follow-Up Inspection</w:t>
      </w:r>
    </w:p>
    <w:p>
      <w:pPr>
        <w:spacing w:after="120"/>
        <w:jc w:val="left"/>
      </w:pPr>
      <w:r>
        <w:rPr>
          <w:rFonts w:ascii="Calibri" w:cs="Calibri" w:eastAsia="Calibri" w:hAnsi="Calibri"/>
          <w:b w:val="false"/>
          <w:bCs w:val="false"/>
          <w:i w:val="false"/>
          <w:iCs w:val="false"/>
          <w:color w:val="1F2937"/>
          <w:sz w:val="21"/>
          <w:szCs w:val="21"/>
        </w:rPr>
        <w:t xml:space="preserve">MCG is preparing a comprehensive evidence file for the anticipated Q1 2026 NVWA follow-up inspection: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Lot number capture statistics — monthly reports from WMS showing compliance trend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tracking rollout schedule and completion evidence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Project Qlarity charter (signed) with traceability milestone dates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Sub-tier supplier mapping progress report with category breakdown</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Country of origin compliance report from procurement system</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Updated SOPs incorporating all corrective action changes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CORRECTIVE ACTION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2026-08-27T22:56:12.154Z</dcterms:created>
  <dcterms:modified xsi:type="dcterms:W3CDTF">2026-08-27T22:56:12.154Z</dcterms:modified>
</cp:coreProperties>
</file>

<file path=docProps/custom.xml><?xml version="1.0" encoding="utf-8"?>
<Properties xmlns="http://schemas.openxmlformats.org/officeDocument/2006/custom-properties" xmlns:vt="http://schemas.openxmlformats.org/officeDocument/2006/docPropsVTypes"/>
</file>