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006580" w:sz="2" w:space="4"/>
        </w:pBdr>
        <w:spacing w:after="160" w:before="360"/>
      </w:pPr>
      <w:r>
        <w:rPr>
          <w:rFonts w:ascii="Inter" w:cs="Inter" w:eastAsia="Inter" w:hAnsi="Inter"/>
          <w:b/>
          <w:bCs/>
          <w:color w:val="19416C"/>
          <w:sz w:val="30"/>
          <w:szCs w:val="30"/>
        </w:rPr>
        <w:t xml:space="preserve">Module 13: Discovery Agent, MCP Server &amp; Agentic AI</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Duration</w:t>
            </w:r>
          </w:p>
        </w:tc>
        <w:tc>
          <w:tcPr>
            <w:tcW w:type="pct" w:w="70%"/>
            <w:shd w:color="F6F7F8" w:val="solid"/>
            <w:tcMar>
              <w:top w:type="dxa" w:w="40"/>
              <w:left w:type="dxa" w:w="100"/>
              <w:bottom w:type="dxa" w:w="40"/>
              <w:right w:type="dxa" w:w="100"/>
            </w:tcMar>
          </w:tcPr>
          <w:p>
            <w:pPr>
              <w:spacing w:after="0"/>
            </w:pPr>
            <w:r>
              <w:rPr>
                <w:rFonts w:ascii="Inter" w:cs="Inter" w:eastAsia="Inter" w:hAnsi="Inter"/>
                <w:color w:val="54565A"/>
                <w:sz w:val="20"/>
                <w:szCs w:val="20"/>
              </w:rPr>
              <w:t xml:space="preserve">12-15 minutes</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Checklist Phase</w:t>
            </w:r>
          </w:p>
        </w:tc>
        <w:tc>
          <w:tcPr>
            <w:tcW w:type="pct" w:w="70%"/>
            <w:shd w:color="F6F7F8" w:val="solid"/>
            <w:tcMar>
              <w:top w:type="dxa" w:w="40"/>
              <w:left w:type="dxa" w:w="100"/>
              <w:bottom w:type="dxa" w:w="40"/>
              <w:right w:type="dxa" w:w="100"/>
            </w:tcMar>
          </w:tcPr>
          <w:p>
            <w:pPr>
              <w:spacing w:after="0"/>
            </w:pPr>
            <w:r>
              <w:rPr>
                <w:rFonts w:ascii="Inter" w:cs="Inter" w:eastAsia="Inter" w:hAnsi="Inter"/>
                <w:color w:val="54565A"/>
                <w:sz w:val="20"/>
                <w:szCs w:val="20"/>
              </w:rPr>
              <w:t xml:space="preserve">Phase 11 + 12</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Nightmares</w:t>
            </w:r>
          </w:p>
        </w:tc>
        <w:tc>
          <w:tcPr>
            <w:tcW w:type="pct" w:w="70%"/>
            <w:shd w:color="F6F7F8" w:val="solid"/>
            <w:tcMar>
              <w:top w:type="dxa" w:w="40"/>
              <w:left w:type="dxa" w:w="100"/>
              <w:bottom w:type="dxa" w:w="40"/>
              <w:right w:type="dxa" w:w="100"/>
            </w:tcMar>
          </w:tcPr>
          <w:p>
            <w:pPr>
              <w:spacing w:after="0"/>
            </w:pPr>
            <w:r>
              <w:rPr>
                <w:rFonts w:ascii="Inter" w:cs="Inter" w:eastAsia="Inter" w:hAnsi="Inter"/>
                <w:color w:val="54565A"/>
                <w:sz w:val="20"/>
                <w:szCs w:val="20"/>
              </w:rPr>
              <w:t xml:space="preserve">#1 (Phantom Inventory), #4 (Silent Pipelines), #6 (Carrier Data Black Hole)</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Components</w:t>
            </w:r>
          </w:p>
        </w:tc>
        <w:tc>
          <w:tcPr>
            <w:tcW w:type="pct" w:w="70%"/>
            <w:shd w:color="F6F7F8" w:val="solid"/>
            <w:tcMar>
              <w:top w:type="dxa" w:w="40"/>
              <w:left w:type="dxa" w:w="100"/>
              <w:bottom w:type="dxa" w:w="40"/>
              <w:right w:type="dxa" w:w="100"/>
            </w:tcMar>
          </w:tcPr>
          <w:p>
            <w:pPr>
              <w:spacing w:after="0"/>
            </w:pPr>
            <w:r>
              <w:rPr>
                <w:rFonts w:ascii="Inter" w:cs="Inter" w:eastAsia="Inter" w:hAnsi="Inter"/>
                <w:color w:val="54565A"/>
                <w:sz w:val="20"/>
                <w:szCs w:val="20"/>
              </w:rPr>
              <w:t xml:space="preserve">Discovery Agent, Qlik MCP Server, Claude Desktop/Code, Agentic Analytics</w:t>
            </w:r>
          </w:p>
        </w:tc>
      </w:tr>
    </w:tbl>
    <w:p>
      <w:pPr>
        <w:spacing w:after="120" w:before="80"/>
      </w:pPr>
      <w:r>
        <w:rPr>
          <w:rFonts w:ascii="Inter" w:cs="Inter" w:eastAsia="Inter" w:hAnsi="Inter"/>
          <w:b/>
          <w:bCs/>
          <w:color w:val="006580"/>
          <w:sz w:val="20"/>
          <w:szCs w:val="20"/>
        </w:rPr>
        <w:t xml:space="preserve">Project Qlarity context:  </w:t>
      </w:r>
      <w:r>
        <w:rPr>
          <w:rFonts w:ascii="Inter" w:cs="Inter" w:eastAsia="Inter" w:hAnsi="Inter"/>
          <w:i/>
          <w:iCs/>
          <w:color w:val="54565A"/>
          <w:sz w:val="20"/>
          <w:szCs w:val="20"/>
        </w:rPr>
        <w:t xml:space="preserve">Project Qlarity Phase 3 (AI &amp; Conversational) — the capstone. The Discovery Agent and MCP server are Qlarity's proactive, agentic layer: anomalies find you, and AI agents query the same governed data and documents that earlier phases built.</w:t>
      </w:r>
    </w:p>
    <w:p>
      <w:pPr>
        <w:spacing w:after="120" w:before="280"/>
      </w:pPr>
      <w:r>
        <w:rPr>
          <w:rFonts w:ascii="Inter" w:cs="Inter" w:eastAsia="Inter" w:hAnsi="Inter"/>
          <w:b/>
          <w:bCs/>
          <w:color w:val="006580"/>
          <w:sz w:val="26"/>
          <w:szCs w:val="26"/>
        </w:rPr>
        <w:t xml:space="preserve">Overview</w:t>
      </w:r>
    </w:p>
    <w:p>
      <w:pPr>
        <w:spacing w:after="120"/>
        <w:jc w:val="left"/>
      </w:pPr>
      <w:r>
        <w:rPr>
          <w:rFonts w:ascii="Inter" w:cs="Inter" w:eastAsia="Inter" w:hAnsi="Inter"/>
          <w:b w:val="false"/>
          <w:bCs w:val="false"/>
          <w:i w:val="false"/>
          <w:iCs w:val="false"/>
          <w:color w:val="54565A"/>
          <w:sz w:val="21"/>
          <w:szCs w:val="21"/>
        </w:rPr>
        <w:t xml:space="preserve">The Discovery Agent proactively monitors data products for anomalies and alerts users before problems escalate. The MCP Server connects Qlik data to AI agents (Claude), enabling natural language queries that combine structured data with document intelligence. Together, they represent the AI-driven future of data analytics.</w:t>
      </w:r>
    </w:p>
    <w:p>
      <w:pPr>
        <w:spacing w:after="120" w:before="280"/>
      </w:pPr>
      <w:r>
        <w:rPr>
          <w:rFonts w:ascii="Inter" w:cs="Inter" w:eastAsia="Inter" w:hAnsi="Inter"/>
          <w:b/>
          <w:bCs/>
          <w:color w:val="006580"/>
          <w:sz w:val="26"/>
          <w:szCs w:val="26"/>
        </w:rPr>
        <w:t xml:space="preserve">Demo Methodology: Tell → Show → Tell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19416C" w:val="solid"/>
          </w:tcPr>
          <w:p>
            <w:pPr>
              <w:spacing w:after="0"/>
            </w:pPr>
            <w:r>
              <w:rPr>
                <w:sz w:val="10"/>
                <w:szCs w:val="10"/>
              </w:rPr>
              <w:t xml:space="preserve"> </w:t>
            </w:r>
          </w:p>
        </w:tc>
        <w:tc>
          <w:tcPr>
            <w:tcW w:type="pct" w:w="98%"/>
            <w:shd w:color="E3EAF3" w:val="solid"/>
            <w:tcMar>
              <w:top w:type="dxa" w:w="60"/>
              <w:left w:type="dxa" w:w="120"/>
              <w:bottom w:type="dxa" w:w="60"/>
              <w:right w:type="dxa" w:w="120"/>
            </w:tcMar>
          </w:tcPr>
          <w:p>
            <w:pPr>
              <w:spacing w:after="40"/>
            </w:pPr>
            <w:r>
              <w:rPr>
                <w:rFonts w:ascii="Inter" w:cs="Inter" w:eastAsia="Inter" w:hAnsi="Inter"/>
                <w:b/>
                <w:bCs/>
                <w:color w:val="19416C"/>
                <w:sz w:val="18"/>
                <w:szCs w:val="18"/>
              </w:rPr>
              <w:t xml:space="preserve">Limbic Opening  (Problem/Consequence)</w:t>
            </w:r>
          </w:p>
          <w:p>
            <w:pPr>
              <w:spacing w:after="0"/>
            </w:pPr>
            <w:r>
              <w:rPr>
                <w:rFonts w:ascii="Inter" w:cs="Inter" w:eastAsia="Inter" w:hAnsi="Inter"/>
                <w:i/>
                <w:iCs/>
                <w:color w:val="54565A"/>
                <w:sz w:val="20"/>
                <w:szCs w:val="20"/>
              </w:rPr>
              <w:t xml:space="preserve">Everything we've shown so far requires a human to ask a question or look at a dashboard. But what if the data found you? What if an AI agent noticed that spoilage rates were climbing, correlated it with a fleet change, estimated the financial exposure, and alerted the right person — all before a single box of product spoiled? That's not future vision. That's what the Discovery Agent does today.</w:t>
            </w:r>
          </w:p>
        </w:tc>
      </w:tr>
    </w:tbl>
    <w:p>
      <w:pPr>
        <w:spacing w:after="80" w:before="80"/>
      </w:pPr>
      <w:r>
        <w:rPr>
          <w:rFonts w:ascii="Inter" w:cs="Inter" w:eastAsia="Inter" w:hAnsi="Inter"/>
          <w:b/>
          <w:bCs/>
          <w:color w:val="10CFC9"/>
          <w:sz w:val="20"/>
          <w:szCs w:val="20"/>
        </w:rPr>
        <w:t xml:space="preserve">Ask the audience: </w:t>
      </w:r>
      <w:r>
        <w:rPr>
          <w:rFonts w:ascii="Inter" w:cs="Inter" w:eastAsia="Inter" w:hAnsi="Inter"/>
          <w:i/>
          <w:iCs/>
          <w:color w:val="54565A"/>
          <w:sz w:val="20"/>
          <w:szCs w:val="20"/>
        </w:rPr>
        <w:t xml:space="preserve">"What if your data could proactively find problems and tell you before anyone asks — how would that change your team's operating model?"</w:t>
      </w:r>
    </w:p>
    <w:p>
      <w:pPr>
        <w:pBdr>
          <w:bottom w:val="single" w:color="006580" w:sz="2" w:space="4"/>
        </w:pBdr>
        <w:spacing w:after="200" w:before="200"/>
      </w:pPr>
      <w:r>
        <w:rPr>
          <w:sz w:val="4"/>
          <w:szCs w:val="4"/>
        </w:rPr>
        <w:t xml:space="preserve"/>
      </w:r>
    </w:p>
    <w:p>
      <w:pPr>
        <w:spacing w:after="120" w:before="280"/>
      </w:pPr>
      <w:r>
        <w:rPr>
          <w:rFonts w:ascii="Inter" w:cs="Inter" w:eastAsia="Inter" w:hAnsi="Inter"/>
          <w:b/>
          <w:bCs/>
          <w:color w:val="006580"/>
          <w:sz w:val="26"/>
          <w:szCs w:val="26"/>
        </w:rPr>
        <w:t xml:space="preserve">Part A: Discovery Agent</w:t>
      </w:r>
    </w:p>
    <w:p>
      <w:pPr>
        <w:spacing w:after="100" w:before="200"/>
      </w:pPr>
      <w:r>
        <w:rPr>
          <w:rFonts w:ascii="Inter" w:cs="Inter" w:eastAsia="Inter" w:hAnsi="Inter"/>
          <w:b/>
          <w:bCs/>
          <w:color w:val="19416C"/>
          <w:sz w:val="22"/>
          <w:szCs w:val="22"/>
        </w:rPr>
        <w:t xml:space="preserve">Setup</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54565A"/>
          <w:sz w:val="21"/>
          <w:szCs w:val="21"/>
        </w:rPr>
        <w:t xml:space="preserve">Enable Discovery Agent on Gold data products: Supply Chain Health, Last Mile Performance</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54565A"/>
          <w:sz w:val="21"/>
          <w:szCs w:val="21"/>
        </w:rPr>
        <w:t xml:space="preserve">Configure alert thresholds: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Threshold</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Value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Purpose</w:t>
            </w:r>
          </w:p>
        </w:tc>
      </w:tr>
      <w:tr>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Trust Score drop</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Below 0.70</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Data quality degradation</w:t>
            </w:r>
          </w:p>
        </w:tc>
      </w:tr>
      <w:tr>
        <w:tc>
          <w:tcPr>
            <w:tcMar>
              <w:top w:type="dxa" w:w="30"/>
              <w:left w:type="dxa" w:w="80"/>
              <w:bottom w:type="dxa" w:w="30"/>
              <w:right w:type="dxa" w:w="80"/>
            </w:tcMar>
          </w:tcPr>
          <w:p>
            <w:pPr>
              <w:spacing w:after="0"/>
            </w:pPr>
            <w:r>
              <w:rPr>
                <w:rFonts w:ascii="Inter" w:cs="Inter" w:eastAsia="Inter" w:hAnsi="Inter"/>
                <w:color w:val="54565A"/>
                <w:sz w:val="19"/>
                <w:szCs w:val="19"/>
              </w:rPr>
              <w:t xml:space="preserve">Sync lag</w:t>
            </w:r>
          </w:p>
        </w:tc>
        <w:tc>
          <w:tcPr>
            <w:tcMar>
              <w:top w:type="dxa" w:w="30"/>
              <w:left w:type="dxa" w:w="80"/>
              <w:bottom w:type="dxa" w:w="30"/>
              <w:right w:type="dxa" w:w="80"/>
            </w:tcMar>
          </w:tcPr>
          <w:p>
            <w:pPr>
              <w:spacing w:after="0"/>
            </w:pPr>
            <w:r>
              <w:rPr>
                <w:rFonts w:ascii="Inter" w:cs="Inter" w:eastAsia="Inter" w:hAnsi="Inter"/>
                <w:color w:val="54565A"/>
                <w:sz w:val="19"/>
                <w:szCs w:val="19"/>
              </w:rPr>
              <w:t xml:space="preserve">Exceeds 60 minutes</w:t>
            </w:r>
          </w:p>
        </w:tc>
        <w:tc>
          <w:tcPr>
            <w:tcMar>
              <w:top w:type="dxa" w:w="30"/>
              <w:left w:type="dxa" w:w="80"/>
              <w:bottom w:type="dxa" w:w="30"/>
              <w:right w:type="dxa" w:w="80"/>
            </w:tcMar>
          </w:tcPr>
          <w:p>
            <w:pPr>
              <w:spacing w:after="0"/>
            </w:pPr>
            <w:r>
              <w:rPr>
                <w:rFonts w:ascii="Inter" w:cs="Inter" w:eastAsia="Inter" w:hAnsi="Inter"/>
                <w:color w:val="54565A"/>
                <w:sz w:val="19"/>
                <w:szCs w:val="19"/>
              </w:rPr>
              <w:t xml:space="preserve">Pipeline failure detection</w:t>
            </w:r>
          </w:p>
        </w:tc>
      </w:tr>
      <w:tr>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Volume anomaly</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Spike or drop &gt; 50%</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Source system issues</w:t>
            </w:r>
          </w:p>
        </w:tc>
      </w:tr>
    </w:tbl>
    <w:p>
      <w:pPr>
        <w:spacing w:after="100" w:before="200"/>
      </w:pPr>
      <w:r>
        <w:rPr>
          <w:rFonts w:ascii="Inter" w:cs="Inter" w:eastAsia="Inter" w:hAnsi="Inter"/>
          <w:b/>
          <w:bCs/>
          <w:color w:val="19416C"/>
          <w:sz w:val="22"/>
          <w:szCs w:val="22"/>
        </w:rPr>
        <w:t xml:space="preserve">Demo Scenario: TransFrio Spoilage Detection</w:t>
      </w:r>
    </w:p>
    <w:p>
      <w:pPr>
        <w:spacing w:after="120" w:before="80"/>
      </w:pPr>
      <w:r>
        <w:rPr>
          <w:rFonts w:ascii="Inter" w:cs="Inter" w:eastAsia="Inter" w:hAnsi="Inter"/>
          <w:b/>
          <w:bCs/>
          <w:color w:val="006580"/>
          <w:sz w:val="20"/>
          <w:szCs w:val="20"/>
        </w:rPr>
        <w:t xml:space="preserve">Project Qlarity context:  </w:t>
      </w:r>
      <w:r>
        <w:rPr>
          <w:rFonts w:ascii="Inter" w:cs="Inter" w:eastAsia="Inter" w:hAnsi="Inter"/>
          <w:i/>
          <w:iCs/>
          <w:color w:val="54565A"/>
          <w:sz w:val="20"/>
          <w:szCs w:val="20"/>
        </w:rPr>
        <w:t xml:space="preserve">Project Qlarity Phase 3 Discovery Agent acting on the Phase 2 spoilage signal — proactively catching the TransFrio fleet change behind Nightmare #6 (Carrier Data Black Hole).</w:t>
      </w:r>
    </w:p>
    <w:p>
      <w:pPr>
        <w:spacing w:after="120"/>
        <w:jc w:val="left"/>
      </w:pPr>
      <w:r>
        <w:rPr>
          <w:rFonts w:ascii="Inter" w:cs="Inter" w:eastAsia="Inter" w:hAnsi="Inter"/>
          <w:b w:val="false"/>
          <w:bCs w:val="false"/>
          <w:i w:val="false"/>
          <w:iCs w:val="false"/>
          <w:color w:val="54565A"/>
          <w:sz w:val="21"/>
          <w:szCs w:val="21"/>
        </w:rPr>
        <w:t xml:space="preserve">The Discovery Agent monitors silver.iot_normalized and detects an anomaly pattern:</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54565A"/>
          <w:sz w:val="21"/>
          <w:szCs w:val="21"/>
        </w:rPr>
        <w:t xml:space="preserve">Temperature exceedance rate on GRU-BA route spiked from 2.1% to 8.8% over 3 weeks</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54565A"/>
          <w:sz w:val="21"/>
          <w:szCs w:val="21"/>
        </w:rPr>
        <w:t xml:space="preserve">Agent correlates: fleet metadata shows 6 truck replacements in the same period</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54565A"/>
          <w:sz w:val="21"/>
          <w:szCs w:val="21"/>
        </w:rPr>
        <w:t xml:space="preserve">Agent generates alert: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54565A"/>
                <w:sz w:val="20"/>
                <w:szCs w:val="20"/>
              </w:rPr>
              <w:t xml:space="preserve">Temperature exceedance on GRU-BA route. Spoilage rate increased 4x since fleet change on July 7. 12 active shipments at risk. Estimated $180K exposure. Click to view Cold Chain Dashboard.</w:t>
            </w:r>
          </w:p>
        </w:tc>
      </w:tr>
    </w:tbl>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54565A"/>
          <w:sz w:val="21"/>
          <w:szCs w:val="21"/>
        </w:rPr>
        <w:t xml:space="preserve">Agent links to: Qlik Analytics dashboard, carrier contract (CARRIER-TF-2024), incident report (INC-2025-05102)</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54565A"/>
                <w:sz w:val="20"/>
                <w:szCs w:val="20"/>
              </w:rPr>
              <w:t xml:space="preserve">Talking point: The Discovery Agent found a pattern that took human analysts 3 weeks to notice. It connected fleet metadata changes to temperature anomalies across multiple data products — something no single dashboard could show.</w:t>
            </w:r>
          </w:p>
        </w:tc>
      </w:tr>
    </w:tbl>
    <w:p>
      <w:pPr>
        <w:pBdr>
          <w:bottom w:val="single" w:color="006580" w:sz="2" w:space="4"/>
        </w:pBdr>
        <w:spacing w:after="200" w:before="200"/>
      </w:pPr>
      <w:r>
        <w:rPr>
          <w:sz w:val="4"/>
          <w:szCs w:val="4"/>
        </w:rPr>
        <w:t xml:space="preserve"/>
      </w:r>
    </w:p>
    <w:p>
      <w:pPr>
        <w:spacing w:after="120" w:before="280"/>
      </w:pPr>
      <w:r>
        <w:rPr>
          <w:rFonts w:ascii="Inter" w:cs="Inter" w:eastAsia="Inter" w:hAnsi="Inter"/>
          <w:b/>
          <w:bCs/>
          <w:color w:val="006580"/>
          <w:sz w:val="26"/>
          <w:szCs w:val="26"/>
        </w:rPr>
        <w:t xml:space="preserve">Part B: MCP Server</w:t>
      </w:r>
    </w:p>
    <w:p>
      <w:pPr>
        <w:spacing w:after="100" w:before="200"/>
      </w:pPr>
      <w:r>
        <w:rPr>
          <w:rFonts w:ascii="Inter" w:cs="Inter" w:eastAsia="Inter" w:hAnsi="Inter"/>
          <w:b/>
          <w:bCs/>
          <w:color w:val="19416C"/>
          <w:sz w:val="22"/>
          <w:szCs w:val="22"/>
        </w:rPr>
        <w:t xml:space="preserve">Setup</w:t>
      </w:r>
    </w:p>
    <w:p>
      <w:pPr>
        <w:spacing w:after="120"/>
        <w:jc w:val="left"/>
      </w:pPr>
      <w:r>
        <w:rPr>
          <w:rFonts w:ascii="Inter" w:cs="Inter" w:eastAsia="Inter" w:hAnsi="Inter"/>
          <w:b w:val="false"/>
          <w:bCs w:val="false"/>
          <w:i w:val="false"/>
          <w:iCs w:val="false"/>
          <w:color w:val="54565A"/>
          <w:sz w:val="21"/>
          <w:szCs w:val="21"/>
        </w:rPr>
        <w:t xml:space="preserve">The Qlik MCP Server is cloud-hosted — no local installation required. It runs at your tenant URL and is accessed via the SSE (Server-Sent Events) transport. No npm package exists; the server is built into Qlik Cloud.</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54565A"/>
          <w:sz w:val="21"/>
          <w:szCs w:val="21"/>
        </w:rPr>
        <w:t xml:space="preserve">Generate an API key: Qlik Cloud Profile &gt; API Keys &gt; Generate new key</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54565A"/>
          <w:sz w:val="21"/>
          <w:szCs w:val="21"/>
        </w:rPr>
        <w:t xml:space="preserve">Add the Qlik MCP server to Claude Desktop config (claude_desktop_config.json):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Claude Desktop Config (claude_desktop_config.json)</w:t>
            </w:r>
          </w:p>
          <w:p>
            <w:pPr>
              <w:spacing w:after="0"/>
            </w:pPr>
            <w:r>
              <w:rPr>
                <w:rFonts w:ascii="Inter" w:cs="Inter" w:eastAsia="Inter" w:hAnsi="Inter"/>
                <w:color w:val="54565A"/>
                <w:sz w:val="20"/>
                <w:szCs w:val="20"/>
              </w:rPr>
              <w:t xml:space="preserve">{
  "mcpServers": {
    "qlik": {
      "url": "https://your-tenant.us.qlikcloud.com/api/ai/mcp",
      "headers": {
        "Authorization": "Bearer YOUR_API_KEY_HERE"
      }
    }
  }
}</w:t>
            </w:r>
          </w:p>
        </w:tc>
      </w:tr>
    </w:tbl>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54565A"/>
          <w:sz w:val="21"/>
          <w:szCs w:val="21"/>
        </w:rPr>
        <w:t xml:space="preserve">Restart Claude Desktop — the Qlik MCP server connects automatically over SSE</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54565A"/>
          <w:sz w:val="21"/>
          <w:szCs w:val="21"/>
        </w:rPr>
        <w:t xml:space="preserve">Test: Ask Claude "Search my Qlik tenant for supply chain apps"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54565A"/>
                <w:sz w:val="20"/>
                <w:szCs w:val="20"/>
              </w:rPr>
              <w:t xml:space="preserve">Key talking point: The Qlik MCP Server exposes 71 tools across 10 categories — App Discovery, Bookmarks, Business Glossary, Datasets &amp; Data Quality, Data Exploration, Data Products, Lineage, Master Items, Selections, Visualization &amp; Sheets. These are live Qlik Cloud capabilities, not simulated responses.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MCP Tool Category</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Key Tools</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MCG Demo Use Case</w:t>
            </w:r>
          </w:p>
        </w:tc>
      </w:tr>
      <w:tr>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App Discovery</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qlik_search, qlik_describe_app, qlik_list_apps</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Find supply chain and delivery apps</w:t>
            </w:r>
          </w:p>
        </w:tc>
      </w:tr>
      <w:tr>
        <w:tc>
          <w:tcPr>
            <w:tcMar>
              <w:top w:type="dxa" w:w="30"/>
              <w:left w:type="dxa" w:w="80"/>
              <w:bottom w:type="dxa" w:w="30"/>
              <w:right w:type="dxa" w:w="80"/>
            </w:tcMar>
          </w:tcPr>
          <w:p>
            <w:pPr>
              <w:spacing w:after="0"/>
            </w:pPr>
            <w:r>
              <w:rPr>
                <w:rFonts w:ascii="Inter" w:cs="Inter" w:eastAsia="Inter" w:hAnsi="Inter"/>
                <w:color w:val="54565A"/>
                <w:sz w:val="19"/>
                <w:szCs w:val="19"/>
              </w:rPr>
              <w:t xml:space="preserve">Data Products</w:t>
            </w:r>
          </w:p>
        </w:tc>
        <w:tc>
          <w:tcPr>
            <w:tcMar>
              <w:top w:type="dxa" w:w="30"/>
              <w:left w:type="dxa" w:w="80"/>
              <w:bottom w:type="dxa" w:w="30"/>
              <w:right w:type="dxa" w:w="80"/>
            </w:tcMar>
          </w:tcPr>
          <w:p>
            <w:pPr>
              <w:spacing w:after="0"/>
            </w:pPr>
            <w:r>
              <w:rPr>
                <w:rFonts w:ascii="Inter" w:cs="Inter" w:eastAsia="Inter" w:hAnsi="Inter"/>
                <w:color w:val="54565A"/>
                <w:sz w:val="19"/>
                <w:szCs w:val="19"/>
              </w:rPr>
              <w:t xml:space="preserve">qlik_list_data_products, qlik_get_data_product</w:t>
            </w:r>
          </w:p>
        </w:tc>
        <w:tc>
          <w:tcPr>
            <w:tcMar>
              <w:top w:type="dxa" w:w="30"/>
              <w:left w:type="dxa" w:w="80"/>
              <w:bottom w:type="dxa" w:w="30"/>
              <w:right w:type="dxa" w:w="80"/>
            </w:tcMar>
          </w:tcPr>
          <w:p>
            <w:pPr>
              <w:spacing w:after="0"/>
            </w:pPr>
            <w:r>
              <w:rPr>
                <w:rFonts w:ascii="Inter" w:cs="Inter" w:eastAsia="Inter" w:hAnsi="Inter"/>
                <w:color w:val="54565A"/>
                <w:sz w:val="19"/>
                <w:szCs w:val="19"/>
              </w:rPr>
              <w:t xml:space="preserve">Browse the two Gold data products</w:t>
            </w:r>
          </w:p>
        </w:tc>
      </w:tr>
      <w:tr>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Business Glossary</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qlik_list_terms, qlik_get_term</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Look up 'phantom inventory', 'WISMO'</w:t>
            </w:r>
          </w:p>
        </w:tc>
      </w:tr>
      <w:tr>
        <w:tc>
          <w:tcPr>
            <w:tcMar>
              <w:top w:type="dxa" w:w="30"/>
              <w:left w:type="dxa" w:w="80"/>
              <w:bottom w:type="dxa" w:w="30"/>
              <w:right w:type="dxa" w:w="80"/>
            </w:tcMar>
          </w:tcPr>
          <w:p>
            <w:pPr>
              <w:spacing w:after="0"/>
            </w:pPr>
            <w:r>
              <w:rPr>
                <w:rFonts w:ascii="Inter" w:cs="Inter" w:eastAsia="Inter" w:hAnsi="Inter"/>
                <w:color w:val="54565A"/>
                <w:sz w:val="19"/>
                <w:szCs w:val="19"/>
              </w:rPr>
              <w:t xml:space="preserve">Data Exploration</w:t>
            </w:r>
          </w:p>
        </w:tc>
        <w:tc>
          <w:tcPr>
            <w:tcMar>
              <w:top w:type="dxa" w:w="30"/>
              <w:left w:type="dxa" w:w="80"/>
              <w:bottom w:type="dxa" w:w="30"/>
              <w:right w:type="dxa" w:w="80"/>
            </w:tcMar>
          </w:tcPr>
          <w:p>
            <w:pPr>
              <w:spacing w:after="0"/>
            </w:pPr>
            <w:r>
              <w:rPr>
                <w:rFonts w:ascii="Inter" w:cs="Inter" w:eastAsia="Inter" w:hAnsi="Inter"/>
                <w:color w:val="54565A"/>
                <w:sz w:val="19"/>
                <w:szCs w:val="19"/>
              </w:rPr>
              <w:t xml:space="preserve">qlik_get_fields, qlik_evaluate_expression</w:t>
            </w:r>
          </w:p>
        </w:tc>
        <w:tc>
          <w:tcPr>
            <w:tcMar>
              <w:top w:type="dxa" w:w="30"/>
              <w:left w:type="dxa" w:w="80"/>
              <w:bottom w:type="dxa" w:w="30"/>
              <w:right w:type="dxa" w:w="80"/>
            </w:tcMar>
          </w:tcPr>
          <w:p>
            <w:pPr>
              <w:spacing w:after="0"/>
            </w:pPr>
            <w:r>
              <w:rPr>
                <w:rFonts w:ascii="Inter" w:cs="Inter" w:eastAsia="Inter" w:hAnsi="Inter"/>
                <w:color w:val="54565A"/>
                <w:sz w:val="19"/>
                <w:szCs w:val="19"/>
              </w:rPr>
              <w:t xml:space="preserve">Query gold.supply_chain_health</w:t>
            </w:r>
          </w:p>
        </w:tc>
      </w:tr>
      <w:tr>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Lineage</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qlik_get_lineage</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Trace phantom inventory to source CDC pipeline</w:t>
            </w:r>
          </w:p>
        </w:tc>
      </w:tr>
      <w:tr>
        <w:tc>
          <w:tcPr>
            <w:tcMar>
              <w:top w:type="dxa" w:w="30"/>
              <w:left w:type="dxa" w:w="80"/>
              <w:bottom w:type="dxa" w:w="30"/>
              <w:right w:type="dxa" w:w="80"/>
            </w:tcMar>
          </w:tcPr>
          <w:p>
            <w:pPr>
              <w:spacing w:after="0"/>
            </w:pPr>
            <w:r>
              <w:rPr>
                <w:rFonts w:ascii="Inter" w:cs="Inter" w:eastAsia="Inter" w:hAnsi="Inter"/>
                <w:color w:val="54565A"/>
                <w:sz w:val="19"/>
                <w:szCs w:val="19"/>
              </w:rPr>
              <w:t xml:space="preserve">Datasets &amp; Data Quality</w:t>
            </w:r>
          </w:p>
        </w:tc>
        <w:tc>
          <w:tcPr>
            <w:tcMar>
              <w:top w:type="dxa" w:w="30"/>
              <w:left w:type="dxa" w:w="80"/>
              <w:bottom w:type="dxa" w:w="30"/>
              <w:right w:type="dxa" w:w="80"/>
            </w:tcMar>
          </w:tcPr>
          <w:p>
            <w:pPr>
              <w:spacing w:after="0"/>
            </w:pPr>
            <w:r>
              <w:rPr>
                <w:rFonts w:ascii="Inter" w:cs="Inter" w:eastAsia="Inter" w:hAnsi="Inter"/>
                <w:color w:val="54565A"/>
                <w:sz w:val="19"/>
                <w:szCs w:val="19"/>
              </w:rPr>
              <w:t xml:space="preserve">qlik_list_datasets, qlik_get_trust_score</w:t>
            </w:r>
          </w:p>
        </w:tc>
        <w:tc>
          <w:tcPr>
            <w:tcMar>
              <w:top w:type="dxa" w:w="30"/>
              <w:left w:type="dxa" w:w="80"/>
              <w:bottom w:type="dxa" w:w="30"/>
              <w:right w:type="dxa" w:w="80"/>
            </w:tcMar>
          </w:tcPr>
          <w:p>
            <w:pPr>
              <w:spacing w:after="0"/>
            </w:pPr>
            <w:r>
              <w:rPr>
                <w:rFonts w:ascii="Inter" w:cs="Inter" w:eastAsia="Inter" w:hAnsi="Inter"/>
                <w:color w:val="54565A"/>
                <w:sz w:val="19"/>
                <w:szCs w:val="19"/>
              </w:rPr>
              <w:t xml:space="preserve">Check Trust Scores across all data products</w:t>
            </w:r>
          </w:p>
        </w:tc>
      </w:tr>
      <w:tr>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Visualization &amp; Sheets</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qlik_list_sheets, qlik_get_visualization</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Navigate Supply Chain Operations app sheets</w:t>
            </w:r>
          </w:p>
        </w:tc>
      </w:tr>
    </w:tbl>
    <w:p>
      <w:pPr>
        <w:spacing w:after="100" w:before="200"/>
      </w:pPr>
      <w:r>
        <w:rPr>
          <w:rFonts w:ascii="Inter" w:cs="Inter" w:eastAsia="Inter" w:hAnsi="Inter"/>
          <w:b/>
          <w:bCs/>
          <w:color w:val="19416C"/>
          <w:sz w:val="22"/>
          <w:szCs w:val="22"/>
        </w:rPr>
        <w:t xml:space="preserve">Build-Side: Governance for Coding Agents (Preview)</w:t>
      </w:r>
    </w:p>
    <w:p>
      <w:pPr>
        <w:spacing w:after="120"/>
        <w:jc w:val="left"/>
      </w:pPr>
      <w:r>
        <w:rPr>
          <w:rFonts w:ascii="Inter" w:cs="Inter" w:eastAsia="Inter" w:hAnsi="Inter"/>
          <w:b w:val="false"/>
          <w:bCs w:val="false"/>
          <w:i w:val="false"/>
          <w:iCs w:val="false"/>
          <w:color w:val="54565A"/>
          <w:sz w:val="21"/>
          <w:szCs w:val="21"/>
        </w:rPr>
        <w:t xml:space="preserve">The same Qlik MCP Server is the bridge that carries Qlik governance to any MCP-compatible AI assistant — including the coding agents developers use to author pipelines. Point Claude Code or GitHub Copilot at the MCP server and the agent can read data products, quality metrics, lineage, and the catalog while it works, so a developer editing the declarative pipeline YAML (Module 14) can ask 'what is the current Trust Score on Supply Chain Health?' or 'what lands silver.inventory_reconciled?' without leaving the IDE.</w:t>
      </w:r>
    </w:p>
    <w:p>
      <w:pPr>
        <w:spacing w:after="100" w:before="60"/>
      </w:pPr>
      <w:r>
        <w:rPr>
          <w:rFonts w:ascii="Inter" w:cs="Inter" w:eastAsia="Inter" w:hAnsi="Inter"/>
          <w:color w:val="54565A"/>
          <w:sz w:val="20"/>
          <w:szCs w:val="20"/>
        </w:rPr>
        <w:t xml:space="preserve">Expose Qlik data products, quality metrics, lineage, and catalog through one MCP server</w:t>
      </w:r>
      <w:r>
        <w:rPr>
          <w:rFonts w:ascii="Inter" w:cs="Inter" w:eastAsia="Inter" w:hAnsi="Inter"/>
          <w:b/>
          <w:bCs/>
          <w:color w:val="009845"/>
          <w:sz w:val="20"/>
          <w:szCs w:val="20"/>
        </w:rPr>
        <w:t xml:space="preserve">  →  so you can  </w:t>
      </w:r>
      <w:r>
        <w:rPr>
          <w:rFonts w:ascii="Inter" w:cs="Inter" w:eastAsia="Inter" w:hAnsi="Inter"/>
          <w:color w:val="54565A"/>
          <w:sz w:val="20"/>
          <w:szCs w:val="20"/>
        </w:rPr>
        <w:t xml:space="preserve">let coding agents author pipelines with governance context in view</w:t>
      </w:r>
      <w:r>
        <w:rPr>
          <w:rFonts w:ascii="Inter" w:cs="Inter" w:eastAsia="Inter" w:hAnsi="Inter"/>
          <w:b/>
          <w:bCs/>
          <w:color w:val="009845"/>
          <w:sz w:val="20"/>
          <w:szCs w:val="20"/>
        </w:rPr>
        <w:t xml:space="preserve">  →  so you can  </w:t>
      </w:r>
      <w:r>
        <w:rPr>
          <w:rFonts w:ascii="Inter" w:cs="Inter" w:eastAsia="Inter" w:hAnsi="Inter"/>
          <w:color w:val="54565A"/>
          <w:sz w:val="20"/>
          <w:szCs w:val="20"/>
        </w:rPr>
        <w:t xml:space="preserve">keep the build-side and consumption-side AI grounded in the same governed metadata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54565A"/>
                <w:sz w:val="20"/>
                <w:szCs w:val="20"/>
              </w:rPr>
              <w:t xml:space="preserve">Preview / roadmap: the Qlik MCP Server tooling is a Qlik internal preview (June 2026). Position it as forward-looking. It is the same governance surface Module 14 (declarative pipelines) and the agentic-engineering modules build against — one MCP server serving both the developer in the IDE and the analyst in a chat.</w:t>
            </w:r>
          </w:p>
        </w:tc>
      </w:tr>
    </w:tbl>
    <w:p>
      <w:pPr>
        <w:spacing w:after="100" w:before="200"/>
      </w:pPr>
      <w:r>
        <w:rPr>
          <w:rFonts w:ascii="Inter" w:cs="Inter" w:eastAsia="Inter" w:hAnsi="Inter"/>
          <w:b/>
          <w:bCs/>
          <w:color w:val="19416C"/>
          <w:sz w:val="22"/>
          <w:szCs w:val="22"/>
        </w:rPr>
        <w:t xml:space="preserve">MCP Demo Scenario 1: Rotterdam Inventory</w:t>
      </w:r>
    </w:p>
    <w:p>
      <w:pPr>
        <w:spacing w:after="120" w:before="80"/>
      </w:pPr>
      <w:r>
        <w:rPr>
          <w:rFonts w:ascii="Inter" w:cs="Inter" w:eastAsia="Inter" w:hAnsi="Inter"/>
          <w:b/>
          <w:bCs/>
          <w:color w:val="006580"/>
          <w:sz w:val="20"/>
          <w:szCs w:val="20"/>
        </w:rPr>
        <w:t xml:space="preserve">Project Qlarity context:  </w:t>
      </w:r>
      <w:r>
        <w:rPr>
          <w:rFonts w:ascii="Inter" w:cs="Inter" w:eastAsia="Inter" w:hAnsi="Inter"/>
          <w:i/>
          <w:iCs/>
          <w:color w:val="54565A"/>
          <w:sz w:val="20"/>
          <w:szCs w:val="20"/>
        </w:rPr>
        <w:t xml:space="preserve">Project Qlarity Phase 3 MCP querying Phase 1 monitoring outputs — phantom inventory (Nightmare #1) from the Rotterdam silent pipeline failure (Nightmare #4).</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Ask Claude</w:t>
            </w:r>
          </w:p>
          <w:p>
            <w:pPr>
              <w:spacing w:after="0"/>
            </w:pPr>
            <w:r>
              <w:rPr>
                <w:rFonts w:ascii="Inter" w:cs="Inter" w:eastAsia="Inter" w:hAnsi="Inter"/>
                <w:color w:val="54565A"/>
                <w:sz w:val="20"/>
                <w:szCs w:val="20"/>
              </w:rPr>
              <w:t xml:space="preserve">What is the current inventory accuracy rate at Rotterdam DC, and what is causing the issues?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54565A"/>
                <w:sz w:val="20"/>
                <w:szCs w:val="20"/>
              </w:rPr>
              <w:t xml:space="preserve">Claude uses MCP to query gold.supply_chain_health filtered by dc = DC-RTD-01. Gets: IRA = 74%, phantom_units = 847, pipeline_status = RECOVERED. Then queries silver.order_delivery_timeline for affected orders. Finally pulls context from INC-2025-04872 (Rotterdam Pipeline Failure) via Qlik Answers.
Response: Rotterdam DC IRA is 74%, significantly below the 97% target. Root cause: silent pipeline failure INC-2025-04872 where WMS-to-SAP CDC sync stopped for 72 hours due to an expired TLS certificate. Created 847 phantom units across 143 SKUs, costing EUR 30,500. Pipeline recovered; Project Qlarity Phase 1 will extend monitoring to all 28 DCs.</w:t>
            </w:r>
          </w:p>
        </w:tc>
      </w:tr>
    </w:tbl>
    <w:p>
      <w:pPr>
        <w:spacing w:after="100" w:before="200"/>
      </w:pPr>
      <w:r>
        <w:rPr>
          <w:rFonts w:ascii="Inter" w:cs="Inter" w:eastAsia="Inter" w:hAnsi="Inter"/>
          <w:b/>
          <w:bCs/>
          <w:color w:val="19416C"/>
          <w:sz w:val="22"/>
          <w:szCs w:val="22"/>
        </w:rPr>
        <w:t xml:space="preserve">MCP Demo Scenario 2: Cold Chain Risk</w:t>
      </w:r>
    </w:p>
    <w:p>
      <w:pPr>
        <w:spacing w:after="120" w:before="80"/>
      </w:pPr>
      <w:r>
        <w:rPr>
          <w:rFonts w:ascii="Inter" w:cs="Inter" w:eastAsia="Inter" w:hAnsi="Inter"/>
          <w:b/>
          <w:bCs/>
          <w:color w:val="006580"/>
          <w:sz w:val="20"/>
          <w:szCs w:val="20"/>
        </w:rPr>
        <w:t xml:space="preserve">Project Qlarity context:  </w:t>
      </w:r>
      <w:r>
        <w:rPr>
          <w:rFonts w:ascii="Inter" w:cs="Inter" w:eastAsia="Inter" w:hAnsi="Inter"/>
          <w:i/>
          <w:iCs/>
          <w:color w:val="54565A"/>
          <w:sz w:val="20"/>
          <w:szCs w:val="20"/>
        </w:rPr>
        <w:t xml:space="preserve">Project Qlarity Phase 3 MCP combining the Phase 2 spoilage prediction with live IoT data — the cold-chain carrier risk of Nightmare #6.</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Ask Claude</w:t>
            </w:r>
          </w:p>
          <w:p>
            <w:pPr>
              <w:spacing w:after="0"/>
            </w:pPr>
            <w:r>
              <w:rPr>
                <w:rFonts w:ascii="Inter" w:cs="Inter" w:eastAsia="Inter" w:hAnsi="Inter"/>
                <w:color w:val="54565A"/>
                <w:sz w:val="20"/>
                <w:szCs w:val="20"/>
              </w:rPr>
              <w:t xml:space="preserve">What is the current spoilage risk for active TransFrio shipments on the Sao Paulo to Buenos Aires route?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54565A"/>
                <w:sz w:val="20"/>
                <w:szCs w:val="20"/>
              </w:rPr>
              <w:t xml:space="preserve">Claude queries silver.iot_normalized for route=GRU-BA and carrier=TransFrio with active shipments. Returns: 4 active shipments, 2 with exceedance_minutes &gt; 30. Pulls INC-2025-05102 for context about the fleet change and TRN-2025-002 for the Thermo King X4 7500 startup procedure.</w:t>
            </w:r>
          </w:p>
        </w:tc>
      </w:tr>
    </w:tbl>
    <w:p>
      <w:pPr>
        <w:spacing w:after="100" w:before="200"/>
      </w:pPr>
      <w:r>
        <w:rPr>
          <w:rFonts w:ascii="Inter" w:cs="Inter" w:eastAsia="Inter" w:hAnsi="Inter"/>
          <w:b/>
          <w:bCs/>
          <w:color w:val="19416C"/>
          <w:sz w:val="22"/>
          <w:szCs w:val="22"/>
        </w:rPr>
        <w:t xml:space="preserve">MCP Demo Scenario 3: Carrier SLA Analysis</w:t>
      </w:r>
    </w:p>
    <w:p>
      <w:pPr>
        <w:spacing w:after="120" w:before="80"/>
      </w:pPr>
      <w:r>
        <w:rPr>
          <w:rFonts w:ascii="Inter" w:cs="Inter" w:eastAsia="Inter" w:hAnsi="Inter"/>
          <w:b/>
          <w:bCs/>
          <w:color w:val="006580"/>
          <w:sz w:val="20"/>
          <w:szCs w:val="20"/>
        </w:rPr>
        <w:t xml:space="preserve">Project Qlarity context:  </w:t>
      </w:r>
      <w:r>
        <w:rPr>
          <w:rFonts w:ascii="Inter" w:cs="Inter" w:eastAsia="Inter" w:hAnsi="Inter"/>
          <w:i/>
          <w:iCs/>
          <w:color w:val="54565A"/>
          <w:sz w:val="20"/>
          <w:szCs w:val="20"/>
        </w:rPr>
        <w:t xml:space="preserve">Project Qlarity Phase 3 MCP across the canonicalized carrier data — resolving Nightmare #6 (Carrier Data Black Hole) into a single APAC SLA comparison.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Ask Claude</w:t>
            </w:r>
          </w:p>
          <w:p>
            <w:pPr>
              <w:spacing w:after="0"/>
            </w:pPr>
            <w:r>
              <w:rPr>
                <w:rFonts w:ascii="Inter" w:cs="Inter" w:eastAsia="Inter" w:hAnsi="Inter"/>
                <w:color w:val="54565A"/>
                <w:sz w:val="20"/>
                <w:szCs w:val="20"/>
              </w:rPr>
              <w:t xml:space="preserve">Compare carrier on-time delivery performance across APAC. Which carrier is worst and why?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54565A"/>
                <w:sz w:val="20"/>
                <w:szCs w:val="20"/>
              </w:rPr>
              <w:t xml:space="preserve">Claude queries gold.last_mile_performance filtered by destination_region=APAC. Returns: NinjaVan at 69% on-time (worst), vs FedEx 94%, DHL 91%. Pulls CARRIER-NV-2025 for context: AMD3 reclassification effective Oct 1 changed 5-10 kg parcels from 2-day to 3-day delivery. 14,000 customers/month affected.</w:t>
            </w:r>
          </w:p>
        </w:tc>
      </w:tr>
    </w:tbl>
    <w:p>
      <w:pPr>
        <w:spacing w:after="100" w:before="200"/>
      </w:pPr>
      <w:r>
        <w:rPr>
          <w:rFonts w:ascii="Inter" w:cs="Inter" w:eastAsia="Inter" w:hAnsi="Inter"/>
          <w:b/>
          <w:bCs/>
          <w:color w:val="19416C"/>
          <w:sz w:val="22"/>
          <w:szCs w:val="22"/>
        </w:rPr>
        <w:t xml:space="preserve">MCP Demo Scenario 4: Customer WISMO Impact</w:t>
      </w:r>
    </w:p>
    <w:p>
      <w:pPr>
        <w:spacing w:after="120" w:before="80"/>
      </w:pPr>
      <w:r>
        <w:rPr>
          <w:rFonts w:ascii="Inter" w:cs="Inter" w:eastAsia="Inter" w:hAnsi="Inter"/>
          <w:b/>
          <w:bCs/>
          <w:color w:val="006580"/>
          <w:sz w:val="20"/>
          <w:szCs w:val="20"/>
        </w:rPr>
        <w:t xml:space="preserve">Project Qlarity context:  </w:t>
      </w:r>
      <w:r>
        <w:rPr>
          <w:rFonts w:ascii="Inter" w:cs="Inter" w:eastAsia="Inter" w:hAnsi="Inter"/>
          <w:i/>
          <w:iCs/>
          <w:color w:val="54565A"/>
          <w:sz w:val="20"/>
          <w:szCs w:val="20"/>
        </w:rPr>
        <w:t xml:space="preserve">Project Qlarity Phase 3: WISMO deflection — quantifying the carrier-visibility cost (Nightmare #6) the conversational layer is designed to reduce.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Ask Claude</w:t>
            </w:r>
          </w:p>
          <w:p>
            <w:pPr>
              <w:spacing w:after="0"/>
            </w:pPr>
            <w:r>
              <w:rPr>
                <w:rFonts w:ascii="Inter" w:cs="Inter" w:eastAsia="Inter" w:hAnsi="Inter"/>
                <w:color w:val="54565A"/>
                <w:sz w:val="20"/>
                <w:szCs w:val="20"/>
              </w:rPr>
              <w:t xml:space="preserve">What is our WISMO rate and how much is it costing us?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54565A"/>
                <w:sz w:val="20"/>
                <w:szCs w:val="20"/>
              </w:rPr>
              <w:t xml:space="preserve">Claude queries gold.last_mile_performance filtered by wismo_flag=TRUE. Returns: overall WISMO rate 41%, cost per inquiry $2.30. Singapore worst at 52% (up from 30% pre-October). Annual WISMO cost: ~$4.2M. Pulls SOP-CS-001 for the current handling procedure and suggests process improvements.</w:t>
            </w:r>
          </w:p>
        </w:tc>
      </w:tr>
    </w:tbl>
    <w:p>
      <w:pPr>
        <w:spacing w:after="100" w:before="200"/>
      </w:pPr>
      <w:r>
        <w:rPr>
          <w:rFonts w:ascii="Inter" w:cs="Inter" w:eastAsia="Inter" w:hAnsi="Inter"/>
          <w:b/>
          <w:bCs/>
          <w:color w:val="19416C"/>
          <w:sz w:val="22"/>
          <w:szCs w:val="22"/>
        </w:rPr>
        <w:t xml:space="preserve">MCP Demo Scenario 5: Compliance Audit</w:t>
      </w:r>
    </w:p>
    <w:p>
      <w:pPr>
        <w:spacing w:after="120" w:before="80"/>
      </w:pPr>
      <w:r>
        <w:rPr>
          <w:rFonts w:ascii="Inter" w:cs="Inter" w:eastAsia="Inter" w:hAnsi="Inter"/>
          <w:b/>
          <w:bCs/>
          <w:color w:val="006580"/>
          <w:sz w:val="20"/>
          <w:szCs w:val="20"/>
        </w:rPr>
        <w:t xml:space="preserve">Project Qlarity context:  </w:t>
      </w:r>
      <w:r>
        <w:rPr>
          <w:rFonts w:ascii="Inter" w:cs="Inter" w:eastAsia="Inter" w:hAnsi="Inter"/>
          <w:i/>
          <w:iCs/>
          <w:color w:val="54565A"/>
          <w:sz w:val="20"/>
          <w:szCs w:val="20"/>
        </w:rPr>
        <w:t xml:space="preserve">Project Qlarity Phase 3 MCP closing Nightmare #7 (Compliance Traceability Gap) — instant NVWA audit readiness from the governed lot-capture and recall data.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Ask Claude</w:t>
            </w:r>
          </w:p>
          <w:p>
            <w:pPr>
              <w:spacing w:after="0"/>
            </w:pPr>
            <w:r>
              <w:rPr>
                <w:rFonts w:ascii="Inter" w:cs="Inter" w:eastAsia="Inter" w:hAnsi="Inter"/>
                <w:color w:val="54565A"/>
                <w:sz w:val="20"/>
                <w:szCs w:val="20"/>
              </w:rPr>
              <w:t xml:space="preserve">How ready are we for the next NVWA food safety audit? What are our biggest gaps?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54565A"/>
                <w:sz w:val="20"/>
                <w:szCs w:val="20"/>
              </w:rPr>
              <w:t xml:space="preserve">Claude queries silver.inventory_reconciled filtered by nvwa_applicable=TRUE. Returns: 85% lot capture rate (target 100%), 30% of lettuce records missing trace_complete. Pulls COMP-2025-NVWA for the 5 findings from the last audit and RCL-2025-003 for the recall timeline. Recommends prioritizing lot number capture for perishables.</w:t>
            </w:r>
          </w:p>
        </w:tc>
      </w:tr>
    </w:tbl>
    <w:p>
      <w:pPr>
        <w:pBdr>
          <w:bottom w:val="single" w:color="006580" w:sz="2" w:space="4"/>
        </w:pBdr>
        <w:spacing w:after="200" w:before="200"/>
      </w:pPr>
      <w:r>
        <w:rPr>
          <w:sz w:val="4"/>
          <w:szCs w:val="4"/>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009845" w:sz="1"/>
              <w:left w:val="single" w:color="009845" w:sz="6"/>
              <w:bottom w:val="single" w:color="009845" w:sz="1"/>
              <w:right w:val="none"/>
            </w:tcBorders>
            <w:shd w:color="E0F5EA" w:val="solid"/>
            <w:tcMar>
              <w:top w:type="dxa" w:w="40"/>
              <w:left w:type="dxa" w:w="120"/>
              <w:bottom w:type="dxa" w:w="40"/>
              <w:right w:type="dxa" w:w="120"/>
            </w:tcMar>
          </w:tcPr>
          <w:p>
            <w:pPr>
              <w:spacing w:after="30"/>
            </w:pPr>
            <w:r>
              <w:rPr>
                <w:rFonts w:ascii="Inter" w:cs="Inter" w:eastAsia="Inter" w:hAnsi="Inter"/>
                <w:b/>
                <w:bCs/>
                <w:color w:val="009845"/>
                <w:sz w:val="16"/>
                <w:szCs w:val="16"/>
              </w:rPr>
              <w:t xml:space="preserve">TELL (after showing)</w:t>
            </w:r>
          </w:p>
          <w:p>
            <w:pPr>
              <w:spacing w:after="0"/>
            </w:pPr>
            <w:r>
              <w:rPr>
                <w:rFonts w:ascii="Inter" w:cs="Inter" w:eastAsia="Inter" w:hAnsi="Inter"/>
                <w:i/>
                <w:iCs/>
                <w:color w:val="54565A"/>
                <w:sz w:val="18"/>
                <w:szCs w:val="18"/>
              </w:rPr>
              <w:t xml:space="preserve">Two AI capabilities that complete the picture: the Discovery Agent proactively monitors your data products and finds anomalies before anyone asks. The MCP Server lets AI agents like Claude query your real-time Qlik data and documents in a single conversation. Together, they shift your operating model from 'search for problems' to 'problems find you.'</w:t>
            </w:r>
          </w:p>
        </w:tc>
      </w:tr>
    </w:tbl>
    <w:p>
      <w:pPr>
        <w:spacing w:after="80" w:before="80"/>
      </w:pPr>
      <w:r>
        <w:rPr>
          <w:rFonts w:ascii="Inter" w:cs="Inter" w:eastAsia="Inter" w:hAnsi="Inter"/>
          <w:b/>
          <w:bCs/>
          <w:color w:val="10CFC9"/>
          <w:sz w:val="20"/>
          <w:szCs w:val="20"/>
        </w:rPr>
        <w:t xml:space="preserve">Ask the audience: </w:t>
      </w:r>
      <w:r>
        <w:rPr>
          <w:rFonts w:ascii="Inter" w:cs="Inter" w:eastAsia="Inter" w:hAnsi="Inter"/>
          <w:i/>
          <w:iCs/>
          <w:color w:val="54565A"/>
          <w:sz w:val="20"/>
          <w:szCs w:val="20"/>
        </w:rPr>
        <w:t xml:space="preserve">"If an AI agent could monitor all of your data products 24/7 and alert you to anomalies — what would you stop doing manually?"</w:t>
      </w:r>
    </w:p>
    <w:p>
      <w:pPr>
        <w:spacing w:after="100" w:before="60"/>
      </w:pPr>
      <w:r>
        <w:rPr>
          <w:rFonts w:ascii="Inter" w:cs="Inter" w:eastAsia="Inter" w:hAnsi="Inter"/>
          <w:color w:val="54565A"/>
          <w:sz w:val="20"/>
          <w:szCs w:val="20"/>
        </w:rPr>
        <w:t xml:space="preserve">Deploy AI agents that proactively monitor data quality and operational metrics</w:t>
      </w:r>
      <w:r>
        <w:rPr>
          <w:rFonts w:ascii="Inter" w:cs="Inter" w:eastAsia="Inter" w:hAnsi="Inter"/>
          <w:b/>
          <w:bCs/>
          <w:color w:val="009845"/>
          <w:sz w:val="20"/>
          <w:szCs w:val="20"/>
        </w:rPr>
        <w:t xml:space="preserve">  →  so you can  </w:t>
      </w:r>
      <w:r>
        <w:rPr>
          <w:rFonts w:ascii="Inter" w:cs="Inter" w:eastAsia="Inter" w:hAnsi="Inter"/>
          <w:color w:val="54565A"/>
          <w:sz w:val="20"/>
          <w:szCs w:val="20"/>
        </w:rPr>
        <w:t xml:space="preserve">combine structured data with document intelligence in natural language conversations</w:t>
      </w:r>
      <w:r>
        <w:rPr>
          <w:rFonts w:ascii="Inter" w:cs="Inter" w:eastAsia="Inter" w:hAnsi="Inter"/>
          <w:b/>
          <w:bCs/>
          <w:color w:val="009845"/>
          <w:sz w:val="20"/>
          <w:szCs w:val="20"/>
        </w:rPr>
        <w:t xml:space="preserve">  →  so you can  </w:t>
      </w:r>
      <w:r>
        <w:rPr>
          <w:rFonts w:ascii="Inter" w:cs="Inter" w:eastAsia="Inter" w:hAnsi="Inter"/>
          <w:color w:val="54565A"/>
          <w:sz w:val="20"/>
          <w:szCs w:val="20"/>
        </w:rPr>
        <w:t xml:space="preserve">shift from reactive analytics to proactive, AI-driven operational intelligence</w:t>
      </w:r>
    </w:p>
    <w:p>
      <w:pPr>
        <w:spacing w:after="120" w:before="280"/>
      </w:pPr>
      <w:r>
        <w:rPr>
          <w:rFonts w:ascii="Inter" w:cs="Inter" w:eastAsia="Inter" w:hAnsi="Inter"/>
          <w:b/>
          <w:bCs/>
          <w:color w:val="006580"/>
          <w:sz w:val="26"/>
          <w:szCs w:val="26"/>
        </w:rPr>
        <w:t xml:space="preserve">Talking Points</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Discovery Agent is proactive AI — it finds anomalies you didn't know to look for</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MCP turns Claude into a data analyst that queries real-time Qlik data, not just general knowledge</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Claude combines structured data (Lakehouse queries) with document intelligence (Answers) in one response</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Every MCP response is traceable: which data products were queried, which documents were cited</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The same MCP server (preview) also serves coding agents — governance in the IDE, not just the chat window (see Modules 14-18)</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This is the vision: AI agents that understand your entire data landscape, not just one dashboard</w:t>
      </w:r>
    </w:p>
    <w:sectPr>
      <w:headerReference w:type="default" r:id="rId7"/>
      <w:footerReference w:type="default" r:id="rId8"/>
      <w:pgSz w:w="11906" w:h="16838" w:orient="portrait"/>
      <w:pgMar w:top="1727" w:right="1440" w:bottom="1152"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09845" w:sz="4" w:space="4"/>
      </w:pBdr>
      <w:spacing w:before="0"/>
    </w:pPr>
    <w:r>
      <w:rPr>
        <w:sz w:val="4"/>
        <w:szCs w:val="4"/>
      </w:rPr>
      <w:t xml:space="preserve"/>
    </w:r>
  </w:p>
  <w:p>
    <w:pPr>
      <w:spacing w:after="0" w:before="0"/>
      <w:jc w:val="center"/>
    </w:pPr>
    <w:r>
      <w:rPr>
        <w:rFonts w:ascii="Inter" w:cs="Inter" w:eastAsia="Inter" w:hAnsi="Inter"/>
        <w:color w:val="54565A"/>
        <w:sz w:val="14"/>
        <w:szCs w:val="14"/>
      </w:rPr>
      <w:t xml:space="preserve">Qlik</w:t>
    </w:r>
  </w:p>
  <w:p>
    <w:pPr>
      <w:spacing w:after="0" w:before="40"/>
      <w:jc w:val="center"/>
    </w:pPr>
    <w:r>
      <w:rPr>
        <w:rFonts w:ascii="Inter" w:cs="Inter" w:eastAsia="Inter" w:hAnsi="Inter"/>
        <w:b/>
        <w:bCs/>
        <w:color w:val="009845"/>
        <w:sz w:val="13"/>
        <w:szCs w:val="13"/>
      </w:rPr>
      <w:t xml:space="preserve">CONFIDENTIAL — </w:t>
    </w:r>
    <w:r>
      <w:rPr>
        <w:rFonts w:ascii="Inter" w:cs="Inter" w:eastAsia="Inter" w:hAnsi="Inter"/>
        <w:color w:val="54565A"/>
        <w:sz w:val="13"/>
        <w:szCs w:val="13"/>
      </w:rPr>
      <w:t xml:space="preserve">Page </w:t>
    </w:r>
    <w:r>
      <w:rPr>
        <w:rFonts w:ascii="Inter" w:cs="Inter" w:eastAsia="Inter" w:hAnsi="Inter"/>
        <w:color w:val="54565A"/>
        <w:sz w:val="13"/>
        <w:szCs w:val="13"/>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60"/>
    </w:pPr>
    <w:r>
      <w:drawing>
        <wp:inline distT="0" distB="0" distL="0" distR="0">
          <wp:extent cx="1123950" cy="628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123950" cy="628650"/>
                  </a:xfrm>
                  <a:prstGeom prst="rect">
                    <a:avLst/>
                  </a:prstGeom>
                </pic:spPr>
              </pic:pic>
            </a:graphicData>
          </a:graphic>
        </wp:inline>
      </w:drawing>
    </w:r>
  </w:p>
  <w:p>
    <w:pPr>
      <w:pBdr>
        <w:bottom w:val="single" w:color="009845" w:sz="8" w:space="4"/>
      </w:pBdr>
      <w:spacing w:after="0"/>
    </w:pPr>
    <w:r>
      <w:rPr>
        <w:sz w:val="4"/>
        <w:szCs w:val="4"/>
      </w:rPr>
      <w:t xml:space="preserve"/>
    </w:r>
  </w:p>
  <w:p>
    <w:pPr>
      <w:spacing w:after="0" w:before="60"/>
      <w:jc w:val="right"/>
    </w:pPr>
    <w:r>
      <w:rPr>
        <w:rFonts w:ascii="Inter" w:cs="Inter" w:eastAsia="Inter" w:hAnsi="Inter"/>
        <w:b/>
        <w:bCs/>
        <w:caps/>
        <w:color w:val="009845"/>
        <w:sz w:val="18"/>
        <w:szCs w:val="18"/>
      </w:rPr>
      <w:t xml:space="preserve">Project Qlarity Demo Walkthrough — Module 13</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Inter" w:cs="Inter" w:eastAsia="Inter" w:hAnsi="Inter"/>
        <w:color w:val="54565A"/>
        <w:sz w:val="22"/>
        <w:szCs w:val="22"/>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Inter" w:cs="Inter" w:eastAsia="Inter" w:hAnsi="Inter"/>
      <w:b/>
      <w:bCs/>
      <w:color w:val="19416C"/>
      <w:sz w:val="32"/>
      <w:szCs w:val="32"/>
    </w:rPr>
  </w:style>
  <w:style w:type="paragraph" w:styleId="Heading2">
    <w:name w:val="Heading 2"/>
    <w:basedOn w:val="Normal"/>
    <w:next w:val="Normal"/>
    <w:qFormat/>
    <w:pPr>
      <w:spacing w:after="160" w:before="300"/>
    </w:pPr>
    <w:rPr>
      <w:rFonts w:ascii="Inter" w:cs="Inter" w:eastAsia="Inter" w:hAnsi="Inter"/>
      <w:b/>
      <w:bCs/>
      <w:color w:val="006580"/>
      <w:sz w:val="26"/>
      <w:szCs w:val="26"/>
    </w:rPr>
  </w:style>
  <w:style w:type="paragraph" w:styleId="Heading3">
    <w:name w:val="Heading 3"/>
    <w:basedOn w:val="Normal"/>
    <w:next w:val="Normal"/>
    <w:qFormat/>
    <w:pPr>
      <w:spacing w:after="120" w:before="240"/>
    </w:pPr>
    <w:rPr>
      <w:rFonts w:ascii="Inter" w:cs="Inter" w:eastAsia="Inter" w:hAnsi="Inter"/>
      <w:b/>
      <w:bCs/>
      <w:color w:val="19416C"/>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6a7640a0f90dc3934f67c3c21f9f3a340ffef734.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2026-08-27T22:56:14.845Z</dcterms:created>
  <dcterms:modified xsi:type="dcterms:W3CDTF">2026-08-27T22:56:14.845Z</dcterms:modified>
</cp:coreProperties>
</file>

<file path=docProps/custom.xml><?xml version="1.0" encoding="utf-8"?>
<Properties xmlns="http://schemas.openxmlformats.org/officeDocument/2006/custom-properties" xmlns:vt="http://schemas.openxmlformats.org/officeDocument/2006/docPropsVTypes"/>
</file>