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7C8F" w:sz="2" w:space="4"/>
        </w:pBdr>
        <w:spacing w:after="160" w:before="360"/>
      </w:pPr>
      <w:r>
        <w:rPr>
          <w:rFonts w:ascii="Calibri" w:cs="Calibri" w:eastAsia="Calibri" w:hAnsi="Calibri"/>
          <w:b/>
          <w:bCs/>
          <w:color w:val="1B2A4A"/>
          <w:sz w:val="30"/>
          <w:szCs w:val="30"/>
        </w:rPr>
        <w:t xml:space="preserve">MCG-POL-015: Enterprise Data Quality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Policy ID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MCG-POL-015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Version</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1.2</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Effective Date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01 May 2025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Owner</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Priya Ramanathan, Chief Data Officer</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Approved By</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Marcus Chen, CIO</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Classification</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Internal — All Business Units</w:t>
            </w:r>
          </w:p>
        </w:tc>
      </w:tr>
    </w:tbl>
    <w:p>
      <w:pPr>
        <w:pBdr>
          <w:bottom w:val="single" w:color="0D7C8F" w:sz="2" w:space="4"/>
        </w:pBdr>
        <w:spacing w:after="160" w:before="360"/>
      </w:pPr>
      <w:r>
        <w:rPr>
          <w:rFonts w:ascii="Calibri" w:cs="Calibri" w:eastAsia="Calibri" w:hAnsi="Calibri"/>
          <w:b/>
          <w:bCs/>
          <w:color w:val="1B2A4A"/>
          <w:sz w:val="30"/>
          <w:szCs w:val="30"/>
        </w:rPr>
        <w:t xml:space="preserve">1. Purpose</w:t>
      </w:r>
    </w:p>
    <w:p>
      <w:pPr>
        <w:spacing w:after="120"/>
        <w:jc w:val="left"/>
      </w:pPr>
      <w:r>
        <w:rPr>
          <w:rFonts w:ascii="Calibri" w:cs="Calibri" w:eastAsia="Calibri" w:hAnsi="Calibri"/>
          <w:b w:val="false"/>
          <w:bCs w:val="false"/>
          <w:i w:val="false"/>
          <w:iCs w:val="false"/>
          <w:color w:val="1F2937"/>
          <w:sz w:val="21"/>
          <w:szCs w:val="21"/>
        </w:rPr>
        <w:t xml:space="preserve">This policy establishes enterprise-wide data quality standards for Meridian Commerce Group. MCG's Q3 2025 data health assessment identified $127M in annual losses attributable to data quality issues across seven identified problem areas ('The Seven Data Quality Nightmares'). This policy provides the governance framework to measure, monitor, and improve data quality.</w:t>
      </w:r>
    </w:p>
    <w:p>
      <w:pPr>
        <w:pBdr>
          <w:bottom w:val="single" w:color="0D7C8F" w:sz="2" w:space="4"/>
        </w:pBdr>
        <w:spacing w:after="160" w:before="360"/>
      </w:pPr>
      <w:r>
        <w:rPr>
          <w:rFonts w:ascii="Calibri" w:cs="Calibri" w:eastAsia="Calibri" w:hAnsi="Calibri"/>
          <w:b/>
          <w:bCs/>
          <w:color w:val="1B2A4A"/>
          <w:sz w:val="30"/>
          <w:szCs w:val="30"/>
        </w:rPr>
        <w:t xml:space="preserve">2. Six Dimensions of Data Quality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Dimension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Definition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Measurement Method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Current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Target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Gap</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Completeness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Required fields are populated with non-null values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 of mandatory fields populated across CDEs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-16%</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Accuracy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Values match real-world truth (verified by physical audit or external source)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Sample audit against physical counts, address validation services, supplier registers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74%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97%</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-23%</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Timeliness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Data is available within the required time window after the real-world event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Latency between real event and system record; pipeline freshness checks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-27%</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Consistency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Same fact is represented the same way across all systems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Cross-system matching rate for CDEs (e.g., inventory in WMS vs SAP)</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-34%</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Uniqueness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No unintended duplicate records for the same real-world entity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Duplicate detection rate using fuzzy matching (supplier names, customer addresses)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79%</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99%</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Validity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Values conform to defined business rules and acceptable ranges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Business rule pass rate (e.g., temperatures within bounds, quantities non-negative)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77%</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-21%</w:t>
            </w:r>
          </w:p>
        </w:tc>
      </w:tr>
    </w:tbl>
    <w:p>
      <w:pPr>
        <w:pBdr>
          <w:bottom w:val="single" w:color="0D7C8F" w:sz="2" w:space="4"/>
        </w:pBdr>
        <w:spacing w:after="160" w:before="360"/>
      </w:pPr>
      <w:r>
        <w:rPr>
          <w:rFonts w:ascii="Calibri" w:cs="Calibri" w:eastAsia="Calibri" w:hAnsi="Calibri"/>
          <w:b/>
          <w:bCs/>
          <w:color w:val="1B2A4A"/>
          <w:sz w:val="30"/>
          <w:szCs w:val="30"/>
        </w:rPr>
        <w:t xml:space="preserve">3. Critical Data Elements (CDEs)</w:t>
      </w:r>
    </w:p>
    <w:p>
      <w:pPr>
        <w:spacing w:after="120"/>
        <w:jc w:val="left"/>
      </w:pPr>
      <w:r>
        <w:rPr>
          <w:rFonts w:ascii="Calibri" w:cs="Calibri" w:eastAsia="Calibri" w:hAnsi="Calibri"/>
          <w:b w:val="false"/>
          <w:bCs w:val="false"/>
          <w:i w:val="false"/>
          <w:iCs w:val="false"/>
          <w:color w:val="1F2937"/>
          <w:sz w:val="21"/>
          <w:szCs w:val="21"/>
        </w:rPr>
        <w:t xml:space="preserve">The following CDEs are prioritized for quality improvement based on financial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CDE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Score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Target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Nightmare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Annual Impact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Domain Owner</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Inventory position accuracy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97%</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 Phantom Inventory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$48.0M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VP Warehouse Ops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Carrier tracking completeness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 Carrier Black Hole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$14.8M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VP Supply Chain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Pipeline health/freshness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None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99.5% uptime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 Silent Pipelines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$12.0M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CIO</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Product weight/dimensions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71%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99%</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 Product Master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$8.2M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Head of Procurement</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Timestamp timezone consistency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 Timestamp Babel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$6.5M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CIO</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Lot-level traceability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#7 Compliance Gap</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$4.2M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CCO</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Address deliverability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 Address Catastrophe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$3.1M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Head of E-Commerce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Supplier identity (dedup)</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76%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99%</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 Product Master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Included above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Head of Procurement</w:t>
            </w:r>
          </w:p>
        </w:tc>
      </w:tr>
    </w:tbl>
    <w:p>
      <w:pPr>
        <w:spacing w:after="80"/>
      </w:pPr>
      <w:r>
        <w:rPr>
          <w:rFonts w:ascii="Calibri" w:cs="Calibri" w:eastAsia="Calibri" w:hAnsi="Calibri"/>
          <w:b/>
          <w:bCs/>
          <w:color w:val="1B2A4A"/>
          <w:sz w:val="21"/>
          <w:szCs w:val="21"/>
        </w:rPr>
        <w:t xml:space="preserve">Total Annual Impact from Data Quality Issues: </w:t>
      </w:r>
      <w:r>
        <w:rPr>
          <w:rFonts w:ascii="Calibri" w:cs="Calibri" w:eastAsia="Calibri" w:hAnsi="Calibri"/>
          <w:color w:val="1F2937"/>
          <w:sz w:val="21"/>
          <w:szCs w:val="21"/>
        </w:rPr>
        <w:t xml:space="preserve">$127M (conservative, directly attributable costs only)</w:t>
      </w:r>
    </w:p>
    <w:p>
      <w:pPr>
        <w:pBdr>
          <w:bottom w:val="single" w:color="0D7C8F" w:sz="2" w:space="4"/>
        </w:pBdr>
        <w:spacing w:after="160" w:before="360"/>
      </w:pPr>
      <w:r>
        <w:rPr>
          <w:rFonts w:ascii="Calibri" w:cs="Calibri" w:eastAsia="Calibri" w:hAnsi="Calibri"/>
          <w:b/>
          <w:bCs/>
          <w:color w:val="1B2A4A"/>
          <w:sz w:val="30"/>
          <w:szCs w:val="30"/>
        </w:rPr>
        <w:t xml:space="preserve">4. Current State: No Enterprise Monitoring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1B2A4A"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MCG currently has NO automated enterprise-wide data quality monitoring. Data quality is measured through periodic manual assessments, cycle count results, and incident-driven investigations. The Rotterdam pipeline failure (INC-2025-04872) went undetected for 4.3 days because no system monitors data freshness or pipeline health.</w:t>
            </w:r>
          </w:p>
        </w:tc>
      </w:tr>
    </w:tbl>
    <w:p>
      <w:pPr>
        <w:spacing w:after="120"/>
        <w:jc w:val="left"/>
      </w:pPr>
      <w:r>
        <w:rPr>
          <w:rFonts w:ascii="Calibri" w:cs="Calibri" w:eastAsia="Calibri" w:hAnsi="Calibri"/>
          <w:b w:val="false"/>
          <w:bCs w:val="false"/>
          <w:i w:val="false"/>
          <w:iCs w:val="false"/>
          <w:color w:val="1F2937"/>
          <w:sz w:val="21"/>
          <w:szCs w:val="21"/>
        </w:rPr>
        <w:t xml:space="preserve">Planned state under Project Qlarity Phase 2:</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Automated data profiling on all source systems at ingestion (Qlik Talend Cloud)</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Real-time data quality dashboards with Trust Score trending (Qlik Analytics)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Automated alerting when quality thresholds are breached</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Data stewardship workflows for issue resolution with SLA tracking</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Trust Score for AI to validate data suitability for ML/AI models</w:t>
      </w:r>
    </w:p>
    <w:p>
      <w:pPr>
        <w:pBdr>
          <w:bottom w:val="single" w:color="0D7C8F" w:sz="2" w:space="4"/>
        </w:pBdr>
        <w:spacing w:after="160" w:before="360"/>
      </w:pPr>
      <w:r>
        <w:rPr>
          <w:rFonts w:ascii="Calibri" w:cs="Calibri" w:eastAsia="Calibri" w:hAnsi="Calibri"/>
          <w:b/>
          <w:bCs/>
          <w:color w:val="1B2A4A"/>
          <w:sz w:val="30"/>
          <w:szCs w:val="30"/>
        </w:rPr>
        <w:t xml:space="preserve">5. Accountability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Role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Responsibility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Reporting</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Chief Data Officer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Enterprise data quality strategy; policy ownership; Project Qlarity sponsorship</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Quarterly to CEO and Board</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Data Domain Owners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Quality targets and improvement plans for their domain CDEs; root cause resolution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Monthly to CDO</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Data Stewards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Day-to-day quality issue investigation and resolution; stewardship task completion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Weekly to Domain Owner</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IT Operations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Pipeline monitoring and alerting; infrastructure for data quality tools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Real-time dashboards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Business Unit Heads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Reporting data quality issues; adopting data quality processes; funding remediation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Quarterly to CDO</w:t>
            </w:r>
          </w:p>
        </w:tc>
      </w:tr>
    </w:tbl>
    <w:p>
      <w:pPr>
        <w:pBdr>
          <w:bottom w:val="single" w:color="0D7C8F" w:sz="2" w:space="4"/>
        </w:pBdr>
        <w:spacing w:after="160" w:before="360"/>
      </w:pPr>
      <w:r>
        <w:rPr>
          <w:rFonts w:ascii="Calibri" w:cs="Calibri" w:eastAsia="Calibri" w:hAnsi="Calibri"/>
          <w:b/>
          <w:bCs/>
          <w:color w:val="1B2A4A"/>
          <w:sz w:val="30"/>
          <w:szCs w:val="30"/>
        </w:rPr>
        <w:t xml:space="preserve">6. Data Quality Incident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Severity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Definition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Example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Response SLA</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Critical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Data issue causing regulatory risk, financial loss &gt; $100K, or customer safety impact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Pipeline failure creating phantom inventory; lot number missing for food recall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Immediate escalation to CDO</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Major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Data issue affecting operational decisions or causing financial loss $10K-$100K</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Carrier tracking data gap affecting 1000+ shipments; address quality causing delivery failures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Resolution within 48 hours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Minor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Data issue with limited operational impact or financial loss &lt; $10K</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Duplicate supplier record; inconsistent product category mapping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Resolution within 5 business days</w:t>
            </w:r>
          </w:p>
        </w:tc>
      </w:tr>
    </w:tbl>
    <w:p>
      <w:pPr>
        <w:pBdr>
          <w:bottom w:val="single" w:color="0D7C8F" w:sz="2" w:space="4"/>
        </w:pBdr>
        <w:spacing w:after="160" w:before="360"/>
      </w:pPr>
      <w:r>
        <w:rPr>
          <w:rFonts w:ascii="Calibri" w:cs="Calibri" w:eastAsia="Calibri" w:hAnsi="Calibri"/>
          <w:b/>
          <w:bCs/>
          <w:color w:val="1B2A4A"/>
          <w:sz w:val="30"/>
          <w:szCs w:val="30"/>
        </w:rPr>
        <w:t xml:space="preserve">7.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Version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Date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Author</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Changes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2025-01-15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 Ramanathan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Initial release following Q3 2025 data health assessment</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2025-05-01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 Ramanathan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Added CDE table with financial impact; incident classification; accountability framework</w:t>
            </w:r>
          </w:p>
        </w:tc>
      </w:tr>
    </w:tbl>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Priya Ramanathan</w:t>
      </w:r>
    </w:p>
    <w:p>
      <w:pPr>
        <w:spacing w:after="0"/>
      </w:pPr>
      <w:r>
        <w:rPr>
          <w:rFonts w:ascii="Calibri" w:cs="Calibri" w:eastAsia="Calibri" w:hAnsi="Calibri"/>
          <w:color w:val="6B7280"/>
          <w:sz w:val="19"/>
          <w:szCs w:val="19"/>
        </w:rPr>
        <w:t xml:space="preserve">Chief Data Officer</w:t>
      </w:r>
    </w:p>
    <w:p>
      <w:pPr>
        <w:spacing w:after="0"/>
      </w:pPr>
      <w:r>
        <w:rPr>
          <w:rFonts w:ascii="Calibri" w:cs="Calibri" w:eastAsia="Calibri" w:hAnsi="Calibri"/>
          <w:i/>
          <w:iCs/>
          <w:color w:val="6B7280"/>
          <w:sz w:val="19"/>
          <w:szCs w:val="19"/>
        </w:rPr>
        <w:t xml:space="preserve">Data &amp; Analytics Division</w:t>
      </w:r>
    </w:p>
    <w:sectPr>
      <w:headerReference w:type="default" r:id="rId7"/>
      <w:footerReference w:type="default" r:id="rId8"/>
      <w:pgSz w:w="11906" w:h="16838" w:orient="portrait"/>
      <w:pgMar w:top="1727"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C8F" w:sz="3" w:space="4"/>
      </w:pBdr>
      <w:spacing w:before="0"/>
    </w:pPr>
    <w:r>
      <w:rPr>
        <w:sz w:val="4"/>
        <w:szCs w:val="4"/>
      </w:rPr>
      <w:t xml:space="preserve"/>
    </w:r>
  </w:p>
  <w:p>
    <w:pPr>
      <w:spacing w:after="0" w:before="0"/>
      <w:jc w:val="center"/>
    </w:pPr>
    <w:r>
      <w:rPr>
        <w:rFonts w:ascii="Calibri" w:cs="Calibri" w:eastAsia="Calibri" w:hAnsi="Calibri"/>
        <w:color w:val="6B7280"/>
        <w:sz w:val="14"/>
        <w:szCs w:val="14"/>
      </w:rPr>
      <w:t xml:space="preserve">Meridian Commerce Group  •  </w:t>
    </w:r>
    <w:r>
      <w:rPr>
        <w:rFonts w:ascii="Calibri" w:cs="Calibri" w:eastAsia="Calibri" w:hAnsi="Calibri"/>
        <w:color w:val="6B7280"/>
        <w:sz w:val="14"/>
        <w:szCs w:val="14"/>
      </w:rPr>
      <w:t xml:space="preserve">Weena 505, 3013 AL Rotterdam, Netherlands</w:t>
    </w:r>
  </w:p>
  <w:p>
    <w:pPr>
      <w:spacing w:after="0" w:before="0"/>
      <w:jc w:val="center"/>
    </w:pPr>
    <w:r>
      <w:rPr>
        <w:rFonts w:ascii="Calibri" w:cs="Calibri" w:eastAsia="Calibri" w:hAnsi="Calibri"/>
        <w:color w:val="6B7280"/>
        <w:sz w:val="14"/>
        <w:szCs w:val="14"/>
      </w:rPr>
      <w:t xml:space="preserve">+31 10 798 4000  •  www.meridiancommerce.com  •  info@meridiancommerce.com</w:t>
    </w:r>
  </w:p>
  <w:p>
    <w:pPr>
      <w:spacing w:after="0" w:before="40"/>
      <w:jc w:val="center"/>
    </w:pPr>
    <w:r>
      <w:rPr>
        <w:rFonts w:ascii="Calibri" w:cs="Calibri" w:eastAsia="Calibri" w:hAnsi="Calibri"/>
        <w:b/>
        <w:bCs/>
        <w:color w:val="C4922E"/>
        <w:sz w:val="13"/>
        <w:szCs w:val="13"/>
      </w:rPr>
      <w:t xml:space="preserve">CONFIDENTIAL — </w:t>
    </w:r>
    <w:r>
      <w:rPr>
        <w:rFonts w:ascii="Calibri" w:cs="Calibri" w:eastAsia="Calibri" w:hAnsi="Calibri"/>
        <w:color w:val="6B7280"/>
        <w:sz w:val="13"/>
        <w:szCs w:val="13"/>
      </w:rPr>
      <w:t xml:space="preserve">Page </w:t>
    </w:r>
    <w:r>
      <w:rPr>
        <w:rFonts w:ascii="Calibri" w:cs="Calibri" w:eastAsia="Calibri" w:hAnsi="Calibri"/>
        <w:color w:val="6B728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b/>
        <w:bCs/>
        <w:color w:val="1B2A4A"/>
        <w:sz w:val="28"/>
        <w:szCs w:val="28"/>
      </w:rPr>
      <w:t xml:space="preserve">MERIDIAN</w:t>
    </w:r>
    <w:r>
      <w:rPr>
        <w:rFonts w:ascii="Calibri" w:cs="Calibri" w:eastAsia="Calibri" w:hAnsi="Calibri"/>
        <w:b w:val="false"/>
        <w:bCs w:val="false"/>
        <w:color w:val="1B2A4A"/>
        <w:sz w:val="28"/>
        <w:szCs w:val="28"/>
      </w:rPr>
      <w:t xml:space="preserve"> COMMERCE </w:t>
    </w:r>
    <w:r>
      <w:rPr>
        <w:rFonts w:ascii="Calibri" w:cs="Calibri" w:eastAsia="Calibri" w:hAnsi="Calibri"/>
        <w:b/>
        <w:bCs/>
        <w:color w:val="0D7C8F"/>
        <w:sz w:val="28"/>
        <w:szCs w:val="28"/>
      </w:rPr>
      <w:t xml:space="preserve">GROUP</w:t>
    </w:r>
  </w:p>
  <w:p>
    <w:pPr>
      <w:spacing w:after="0"/>
    </w:pPr>
    <w:r>
      <w:rPr>
        <w:rFonts w:ascii="Calibri" w:cs="Calibri" w:eastAsia="Calibri" w:hAnsi="Calibri"/>
        <w:i/>
        <w:iCs/>
        <w:color w:val="6B7280"/>
        <w:sz w:val="16"/>
        <w:szCs w:val="16"/>
      </w:rPr>
      <w:t xml:space="preserve">The neighborhood store with global reach</w:t>
    </w:r>
  </w:p>
  <w:p>
    <w:pPr>
      <w:pBdr>
        <w:bottom w:val="single" w:color="0D7C8F" w:sz="6" w:space="4"/>
      </w:pBdr>
      <w:spacing w:after="0"/>
    </w:pPr>
    <w:r>
      <w:rPr>
        <w:sz w:val="4"/>
        <w:szCs w:val="4"/>
      </w:rPr>
      <w:t xml:space="preserve"/>
    </w:r>
  </w:p>
  <w:p>
    <w:pPr>
      <w:spacing w:after="0" w:before="60"/>
      <w:jc w:val="right"/>
    </w:pPr>
    <w:r>
      <w:rPr>
        <w:rFonts w:ascii="Calibri" w:cs="Calibri" w:eastAsia="Calibri" w:hAnsi="Calibri"/>
        <w:b/>
        <w:bCs/>
        <w:caps/>
        <w:color w:val="C4922E"/>
        <w:sz w:val="18"/>
        <w:szCs w:val="18"/>
      </w:rPr>
      <w:t xml:space="preserve">CORPORATE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B2A4A"/>
      <w:sz w:val="32"/>
      <w:szCs w:val="32"/>
    </w:rPr>
  </w:style>
  <w:style w:type="paragraph" w:styleId="Heading2">
    <w:name w:val="Heading 2"/>
    <w:basedOn w:val="Normal"/>
    <w:next w:val="Normal"/>
    <w:qFormat/>
    <w:pPr>
      <w:spacing w:after="160" w:before="300"/>
    </w:pPr>
    <w:rPr>
      <w:rFonts w:ascii="Calibri" w:cs="Calibri" w:eastAsia="Calibri" w:hAnsi="Calibri"/>
      <w:b/>
      <w:bCs/>
      <w:color w:val="0D7C8F"/>
      <w:sz w:val="26"/>
      <w:szCs w:val="26"/>
    </w:rPr>
  </w:style>
  <w:style w:type="paragraph" w:styleId="Heading3">
    <w:name w:val="Heading 3"/>
    <w:basedOn w:val="Normal"/>
    <w:next w:val="Normal"/>
    <w:qFormat/>
    <w:pPr>
      <w:spacing w:after="120" w:before="240"/>
    </w:pPr>
    <w:rPr>
      <w:rFonts w:ascii="Calibri" w:cs="Calibri" w:eastAsia="Calibri" w:hAnsi="Calibri"/>
      <w:b/>
      <w:bCs/>
      <w:color w:val="1B2A4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2026-08-27T22:56:10.730Z</dcterms:created>
  <dcterms:modified xsi:type="dcterms:W3CDTF">2026-08-27T22:56:10.730Z</dcterms:modified>
</cp:coreProperties>
</file>

<file path=docProps/custom.xml><?xml version="1.0" encoding="utf-8"?>
<Properties xmlns="http://schemas.openxmlformats.org/officeDocument/2006/custom-properties" xmlns:vt="http://schemas.openxmlformats.org/officeDocument/2006/docPropsVTypes"/>
</file>