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Qlarity: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ROI (3-Year, Conservative)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952%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 ('The Seven Data Quality Nightmares'). Project Qlarity proposes a $12.4M investment in the Qlik data platform to create a unified, governed, and trusted data foundation. Conservative projections show $52.7M in annual benefits, yielding a 952% 3-year ROI with payback within 4 months of Phase 1 completion.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urgency is driven by three converging pressures: (1) the NVWA regulatory citation requiring credible corrective action by Q1 2026, (2) escalating operational losses ($2.48M in Q3 2025 spoilage alone), and (3) competitive pressure as peers adopt data-driven supply chain optimization.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Worst Incident (Q3)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847 phantom units from 72hr pipeline failure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$847K FedEx correction surcharges in FY2024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Dimensional weight overbilling across 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72hrs undetected at Rotterdam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TZs, no standards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confusion in every cross-system report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#s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NinjaVan SG tracking at 71% (target 99%)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RCL-2025-003: €85K recall cost, NVWA citation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(conservative, based on directly attributable and quantified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Addresses Nightmares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 (Oracle + Manhattan), Salesforce, IoT, TMS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dedup, product master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#2, #3,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 and accountability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chain, carrier performance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#5, 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SOPs, policies, contracts — enables warehouse staff to query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Operational efficiency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1-8, $5.2M)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Core data infrastructure and the 4 highest-priority transformation routes: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 Addressed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Real-time CDC from SAP, Oracle WMS, Manhattan WMS,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Lakehouse (Bronze/Silver)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Apache Iceberg storage with automated ingestion and quality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Foundation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Standardize all timestamps to UTC with source timezone metadata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WMS-SAP reconciliation replacing manual daily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Status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Multi-language carrier status mapping (DPD, FedEx, NinjaVan, TransFrio)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Telemetry Pipeline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sensor data integration with carrier and product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#6, spoilage detection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Health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Heartbeat checks, row-count reconciliation, sync lag alerting for all 28 DCs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 Dashboards (v1)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accuracy, cold chain monitoring, pipeline 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6-16, $4.8M)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Advanced data quality, remaining transformation routes, and predictive analytics: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Address Standardization — postal address validation and correction for EU, Americas, APAC (addresses Nightmare #2)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Master Harmonizer — cross-system SKU matching, weight/dimension completion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Identity Resolution — fuzzy matching to create canonical supplier records across SAP, WMS, Salesforce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Order Enrichment — end-to-end order tracking from PO to delivery with unified timestamps (#5, #6, 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Trust Score — automated scoring across all 6 quality dimensions (#1-#7)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 — issue routing, SLA tracking, accountability framework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AutoML models — demand forecasting (reduce phantom inventory), spoilage risk prediction, delivery SLA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 — curated, governed datasets for business consumption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14-24, $2.4M)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AI-powered analytics and conversational access to MCG's data and documents: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— ingest all SOPs, policies, carrier contracts, training guides, and operational documents for conversational Q&amp;A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— automated root cause analysis for anomalies (e.g., auto-detect spoilage correlation with fleet changes)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— enable AI agent integration with MCG's data platform via Model Context Protocol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— natural language query for store managers, customer service agents, and operations staff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NPV (10% discount rate, 3 years):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$118.4M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SAP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at scale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role-based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used in base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strictly limited to 4 critical source systems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enforcement before Phase 1 completion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Interim manual improvements + approved project plan as evidence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structured as: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1: $5.2M — begin Q1 2026 (critical for NVWA compliance and Nightmare #1/#4 remediation)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2: $4.8M — begin Q3 2026 (requires Phase 1 foundation)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3: $2.4M — begin Q1 2027 (AI capabilities, lower urgency)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2026-08-27T22:56:12.197Z</dcterms:created>
  <dcterms:modified xsi:type="dcterms:W3CDTF">2026-08-27T22:56:12.197Z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