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SOP-WH-002: Inventory Cycle Count Procedure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Anke de Vries, Senior Inventory Control Analyst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Warehouse Operations &amp; Inventory Control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 v2.3 (01 November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Cycle Count Module; SOP-WH-002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establishes the standard process for conducting inventory cycle counts across all MCG distribution centers. Regular cycle counting is essential for maintaining inventory record accuracy (IRA) and identifying discrepancies before they impact customer orders, store replenishment, and financial reporting.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CONTEXT: MCG's enterprise Inventory Record Accuracy (IRA) stands at 74% — critically below the 97% target and well below the industry benchmark of 95%. This 23-percentage-point gap translates to approximately $48M in annual losses from phantom inventory, misallocated stock, emergency transfers, store stockouts on products showing as 'available' in SAP, and customer order cancellations. Cycle count compliance and accuracy are the primary operational levers for improving IRA while the enterprise invests in systemic fixes through Project Qlarity.</w:t>
            </w:r>
          </w:p>
        </w:tc>
      </w:tr>
    </w:tbl>
    <w:p>
      <w:pPr>
        <w:spacing w:after="120"/>
        <w:jc w:val="left"/>
      </w:pPr>
      <w:r>
        <w:rPr>
          <w:rFonts w:ascii="Calibri" w:cs="Calibri" w:eastAsia="Calibri" w:hAnsi="Calibri"/>
          <w:b w:val="false"/>
          <w:bCs w:val="false"/>
          <w:i w:val="false"/>
          <w:iCs w:val="false"/>
          <w:color w:val="1F2937"/>
          <w:sz w:val="21"/>
          <w:szCs w:val="21"/>
        </w:rPr>
        <w:t xml:space="preserve">Key business impacts of low IRA: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Store replenishment orders are allocated against inventory that doesn't physically exist ('phantom inventory'), resulting in store stockouts with no ERP visibility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E-commerce orders are accepted and confirmed for products that are not in stock, leading to cancellations, refunds, and WISMO contacts ($14.8M/year in WISMO costs)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Financial inventory valuations are overstated, creating audit risk and inaccurate carrying cost forecasts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Safety stock calculations are unreliable, leading to either excess stock (carrying cost) or insufficient stock (stockouts)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Q3 2025 board review specifically cited IRA as the #1 data quality issue requiring immediate operational attention</w:t>
      </w:r>
    </w:p>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scheduled and ad-hoc cycle counts at MCG distribution centers and fulfillment hubs. It covers: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Scheduled cycle counts (ABC-classified frequency)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Ad-hoc counts triggered by discrepancy investigation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Pre-promotion and post-promotion counts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compliance counts (food traceability verification)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wall-to-wall inventory (coordinated across all DCs in January)</w:t>
      </w:r>
    </w:p>
    <w:p>
      <w:pPr>
        <w:spacing w:after="120"/>
        <w:jc w:val="left"/>
      </w:pPr>
      <w:r>
        <w:rPr>
          <w:rFonts w:ascii="Calibri" w:cs="Calibri" w:eastAsia="Calibri" w:hAnsi="Calibri"/>
          <w:b w:val="false"/>
          <w:bCs w:val="false"/>
          <w:i w:val="false"/>
          <w:iCs w:val="false"/>
          <w:color w:val="1F2937"/>
          <w:sz w:val="21"/>
          <w:szCs w:val="21"/>
        </w:rPr>
        <w:t xml:space="preserve">It does NOT cover retail store inventory counts (governed by SOP-ST-007).</w:t>
      </w:r>
    </w:p>
    <w:p>
      <w:pPr>
        <w:pBdr>
          <w:bottom w:val="single" w:color="0D7C8F" w:sz="2" w:space="4"/>
        </w:pBdr>
        <w:spacing w:after="160" w:before="360"/>
      </w:pPr>
      <w:r>
        <w:rPr>
          <w:rFonts w:ascii="Calibri" w:cs="Calibri" w:eastAsia="Calibri" w:hAnsi="Calibri"/>
          <w:b/>
          <w:bCs/>
          <w:color w:val="1B2A4A"/>
          <w:sz w:val="30"/>
          <w:szCs w:val="30"/>
        </w:rPr>
        <w:t xml:space="preserve">3. 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(Number of SKU locations with matching system and physical counts) / (Total SKU locations counted) ×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ABC Classification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classification by annual sales velocity and value: A = top 80% of revenue (typically 20% of SKUs); B = next 15% of revenue; C = remaining 5% of revenue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shown in the system (SAP/WMS) that does not physically exist. Primary cause: silent pipeline failures between WMS and SAP (see INC-2025-04872)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Negative Inventory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 shows negative stock quantity — physically impossible. Indicates a transaction sequencing error or unposted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Difference between system (WMS book) quantity and physical count quantity. Expressed in units and/or percentage of book quantity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Sheet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System-generated list of SKU/locations to be counted, with current book quantities hidden from the counter to prevent bias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Blind Count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 method where the counter does NOT see the expected quantity — enters only what they physically count. MCG standard method.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Temporary halt to all inventory movements (receipts, picks, transfers) in a specific zone to allow accurate counting. Duration: maximum 4 hours.</w:t>
            </w:r>
          </w:p>
        </w:tc>
      </w:tr>
    </w:tbl>
    <w:p>
      <w:pPr>
        <w:pBdr>
          <w:bottom w:val="single" w:color="0D7C8F" w:sz="2" w:space="4"/>
        </w:pBdr>
        <w:spacing w:after="160" w:before="360"/>
      </w:pPr>
      <w:r>
        <w:rPr>
          <w:rFonts w:ascii="Calibri" w:cs="Calibri" w:eastAsia="Calibri" w:hAnsi="Calibri"/>
          <w:b/>
          <w:bCs/>
          <w:color w:val="1B2A4A"/>
          <w:sz w:val="30"/>
          <w:szCs w:val="30"/>
        </w:rPr>
        <w:t xml:space="preserve">4. Count Frequency and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ABC Class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Freeze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High-value electronics (&gt; €100 unit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Perishable / cold chain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(20% zone sampling per day = full zone per week)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sample, blind method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 (count between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 + cold chain trained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Fast-moving general merchandise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per location,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Medium-velocity merchandise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Bi-weekly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Statistical sampling (30% of locations)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Slow-moving / seasonal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Random 10%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Promotional / seasonal displays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(temporary)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before promo starts; day after promo ends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promo SKUs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(1-hour window)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Quarantined / hold stock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(permanent freeze on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with HAZMAT-certified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(during count 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certified</w:t>
            </w:r>
          </w:p>
        </w:tc>
      </w:tr>
    </w:tbl>
    <w:p>
      <w:pPr>
        <w:pBdr>
          <w:bottom w:val="single" w:color="0D7C8F" w:sz="2" w:space="4"/>
        </w:pBdr>
        <w:spacing w:after="160" w:before="360"/>
      </w:pPr>
      <w:r>
        <w:rPr>
          <w:rFonts w:ascii="Calibri" w:cs="Calibri" w:eastAsia="Calibri" w:hAnsi="Calibri"/>
          <w:b/>
          <w:bCs/>
          <w:color w:val="1B2A4A"/>
          <w:sz w:val="30"/>
          <w:szCs w:val="30"/>
        </w:rPr>
        <w:t xml:space="preserve">5. Counter Certification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Requirements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 Count Types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basic operations certified; SOP-WH-002 training complete; 2 supervised counts signed off by Level 2 counter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 and C class SKUs; daily perishable sampling; ad-hoc counts (standard zones)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requirements + 6 months counting experience; variance investigation training; supervisor endorsement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class SKUs; high-value electronics; promotional counts; hold zone counts; regulatory counts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requirements + external HAZMAT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zone counts</w:t>
            </w:r>
          </w:p>
        </w:tc>
      </w:tr>
    </w:tbl>
    <w:p>
      <w:pPr>
        <w:pBdr>
          <w:bottom w:val="single" w:color="0D7C8F" w:sz="2" w:space="4"/>
        </w:pBdr>
        <w:spacing w:after="160" w:before="360"/>
      </w:pPr>
      <w:r>
        <w:rPr>
          <w:rFonts w:ascii="Calibri" w:cs="Calibri" w:eastAsia="Calibri" w:hAnsi="Calibri"/>
          <w:b/>
          <w:bCs/>
          <w:color w:val="1B2A4A"/>
          <w:sz w:val="30"/>
          <w:szCs w:val="30"/>
        </w:rPr>
        <w:t xml:space="preserve">6. Pre-Count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Generate the Cycle Count Sheet from WMS for the assigned zone/SKU group. The sheet includes: Location barcode, SKU barcode, SKU description, UoM, and lot number (if lot-tracked). The BOOK QUANTITY IS HIDDEN (blind count method) to prevent bias.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Ensure all pending transactions for the count zone are complete: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goods receipts posted and put-away confirmed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open pick tasks completed or cancelled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pending transfers posted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 open replenishment tasks for the zone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transactions cannot be completed, coordinate with the DC Shift Manager to establish a zone freeze window. Maximum freeze duration: 4 hours for standard zones, 2 hours for high-velocity zones.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handheld scanner is operational: firmware current (check version on startup screen; current version: MC9300-FW-2025.09), battery &gt; 60%, Wi-Fi connected to DC network.</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cold chain zone counts: Coordinate with the Cold Chain Manager to schedule count during off-peak receiving/shipping periods. Cold zone door-open time during counting must not exceed the limits defined in MCG-POL-012 (15 minutes for chilled, 5 minutes for frozen). Counters must wear appropriate PPE: insulated gloves, cold-weather vest for chilled zones; full cold-weather suit for frozen zones.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high-value electronics counts: Notify DC Security. A security officer must be present during the count to maintain chain of custody. Count area must be under CCTV coverage.</w:t>
      </w:r>
    </w:p>
    <w:p>
      <w:pPr>
        <w:pBdr>
          <w:bottom w:val="single" w:color="0D7C8F" w:sz="2" w:space="4"/>
        </w:pBdr>
        <w:spacing w:after="160" w:before="360"/>
      </w:pPr>
      <w:r>
        <w:rPr>
          <w:rFonts w:ascii="Calibri" w:cs="Calibri" w:eastAsia="Calibri" w:hAnsi="Calibri"/>
          <w:b/>
          <w:bCs/>
          <w:color w:val="1B2A4A"/>
          <w:sz w:val="30"/>
          <w:szCs w:val="30"/>
        </w:rPr>
        <w:t xml:space="preserve">7. Count Process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Navigate to the first count location. Scan the location barcode to initiate count in WMS.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Physically count ALL units of each SKU at the location. Counting rules: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each individual unit (EA). Do not estimate.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case (CS) quantities: Count cases AND open/partial cases. Record: X full cases + Y loose units. System converts to total EA.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pallet (PAL) quantities: Count full pallets. For each pallet, verify the pallet label matches the SKU. If labels are missing or illegible, count individual cases on the pallet.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lot-tracked products: Count by lot number. If multiple lots of the same SKU are at the same location, record separate counts per lot.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items physically present at the location, INCLUDING items that appear damaged, expired, or misplaced. Record their condition in the notes field.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Scan each SKU barcode and enter the physical count in the WMS count module.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WMS compares the entered count to the book quantity in real-time and flags variances:</w:t>
      </w:r>
    </w:p>
    <w:p>
      <w:pPr>
        <w:pBdr>
          <w:bottom w:val="single" w:color="0D7C8F" w:sz="2" w:space="4"/>
        </w:pBdr>
        <w:spacing w:after="160" w:before="360"/>
      </w:pPr>
      <w:r>
        <w:rPr>
          <w:rFonts w:ascii="Calibri" w:cs="Calibri" w:eastAsia="Calibri" w:hAnsi="Calibri"/>
          <w:b/>
          <w:bCs/>
          <w:color w:val="1B2A4A"/>
          <w:sz w:val="30"/>
          <w:szCs w:val="30"/>
        </w:rPr>
        <w:t xml:space="preserve">8. Variance Thresholds and Escalation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Threshold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 Authority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Resolution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5 units AND ≤ 2% of book qty (whichever is greater)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auto-adjusts WMS quantity with reason code 'CC-AUTO'. No manual intervention required. Adjustment logged for audit trail.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 (automated)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Moderate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6-25 units OR 2-5% of book qty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flags for recount. A DIFFERENT counter (not the original) must perform a second blind count. If the recount matches the original count, supervisor approves the adjustment. If the recount differs, a third count is performed by a Level 2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 or 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26-100 units OR 5-10% of book qty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zone recount triggered. Root cause investigation initiated by Inventory Control Analyst. Common causes investigated: silent pipeline failure, mispicks, unreported damage, theft, WMS-SAP sync issue.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100 units OR &gt; 10% of book qty, OR any A-class SKU variance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initiated. Full zone recount by Level 2 counters. VP Warehouse Operations notified. Root cause investigation with written report. May trigger financial inventory restatement.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Operations (Henrik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72 hours; written RCA report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9. SAP Reconciliation</w:t>
      </w:r>
    </w:p>
    <w:p>
      <w:pPr>
        <w:spacing w:after="120"/>
        <w:jc w:val="left"/>
      </w:pPr>
      <w:r>
        <w:rPr>
          <w:rFonts w:ascii="Calibri" w:cs="Calibri" w:eastAsia="Calibri" w:hAnsi="Calibri"/>
          <w:b w:val="false"/>
          <w:bCs w:val="false"/>
          <w:i w:val="false"/>
          <w:iCs w:val="false"/>
          <w:color w:val="1F2937"/>
          <w:sz w:val="21"/>
          <w:szCs w:val="21"/>
        </w:rPr>
        <w:t xml:space="preserve">After WMS count adjustments are finalized, the Inventory Control Analyst must verify SAP reconciliation: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Allow MINIMUM 30 minutes for CDC replication from WMS to SAP. For large batch adjustments (&gt; 50 SKU locations), allow 60 minutes.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In SAP, run transaction MI07 (Inventory Differences List) filtered for the counted SKUs and date range.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each WMS count adjustment is reflected in SAP with matching quantity.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any adjustment is MISSING from SAP after 60 minutes, this may indicate a CDC pipeline failure. Escalate to IT Operations immediately and reference INC-2025-04872 (Rotterdam Pipeline Failure) as a comparable incident. Do NOT manually enter the adjustment in SAP.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Due to the 15-minute CDC batch window, rapid sequential count adjustments on the same SKU may show temporary discrepancies between WMS and SAP. Example: Counter adjusts SKU MCG-4420 at Location A-14-03 at 10:05, then adjusts the same SKU at Location A-14-08 at 10:12. The first adjustment may reach SAP before the second, showing a momentary intermediate value. ALWAYS wait 30+ minutes after the LAST count adjustment before verifying reconciliation.</w:t>
            </w:r>
          </w:p>
        </w:tc>
      </w:tr>
    </w:tbl>
    <w:p>
      <w:pPr>
        <w:pBdr>
          <w:bottom w:val="single" w:color="0D7C8F" w:sz="2" w:space="4"/>
        </w:pBdr>
        <w:spacing w:after="160" w:before="360"/>
      </w:pPr>
      <w:r>
        <w:rPr>
          <w:rFonts w:ascii="Calibri" w:cs="Calibri" w:eastAsia="Calibri" w:hAnsi="Calibri"/>
          <w:b/>
          <w:bCs/>
          <w:color w:val="1B2A4A"/>
          <w:sz w:val="30"/>
          <w:szCs w:val="30"/>
        </w:rPr>
        <w:t xml:space="preserve">10. Root Cause Analysis</w:t>
      </w:r>
    </w:p>
    <w:p>
      <w:pPr>
        <w:spacing w:after="120"/>
        <w:jc w:val="left"/>
      </w:pPr>
      <w:r>
        <w:rPr>
          <w:rFonts w:ascii="Calibri" w:cs="Calibri" w:eastAsia="Calibri" w:hAnsi="Calibri"/>
          <w:b w:val="false"/>
          <w:bCs w:val="false"/>
          <w:i w:val="false"/>
          <w:iCs w:val="false"/>
          <w:color w:val="1F2937"/>
          <w:sz w:val="21"/>
          <w:szCs w:val="21"/>
        </w:rPr>
        <w:t xml:space="preserve">For all Major and Critical variances, a Root Cause Analysis (RCA) must be completed within the resolution SLA. The RCA must address: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What was the specific variance (SKU, location, expected vs actual, lot if applicable)?</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When was the last accurate count at this location (reference previous cycle count records)?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What transactions occurred at this location since the last accurate count (WMS transaction log)?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Was there a known pipeline failure or sync issue during the period (check IT Ops incident log)?</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Was the SKU subject to any promotional activity, store allocation, or reallocation during the period?</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Is there evidence of damage write-off not posted, returns not processed, or inter-zone transfer not completed?</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For A-class electronics: Was there a security incident or evidence of shrinkage?</w:t>
      </w:r>
    </w:p>
    <w:p>
      <w:pPr>
        <w:spacing w:after="120"/>
        <w:jc w:val="left"/>
      </w:pPr>
      <w:r>
        <w:rPr>
          <w:rFonts w:ascii="Calibri" w:cs="Calibri" w:eastAsia="Calibri" w:hAnsi="Calibri"/>
          <w:b w:val="false"/>
          <w:bCs w:val="false"/>
          <w:i w:val="false"/>
          <w:iCs w:val="false"/>
          <w:color w:val="1F2937"/>
          <w:sz w:val="21"/>
          <w:szCs w:val="21"/>
        </w:rPr>
        <w:t xml:space="preserve">Common root causes identified at MCG (ranked by frequency):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Root Cause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 Link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WMS-SAP sync failure (batch job stopped)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restart; backlog replay; pipeline monitoring alert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Picks completed in WMS but shipment not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Post-shipment confirmation; retrain picker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received but put-away not confirmed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put-away transaction; retrain receiver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Damaged/expired stock not written off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 write-off; establish regular damaged goods sweep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Cross-dock items counted in wrong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Correct location assignment; retrain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 conversion error (EA vs CS vs PAL)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Correct UoM; flag SKU master for review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Actual theft/shrinkage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 investigation; loss prevention review</w:t>
            </w:r>
          </w:p>
        </w:tc>
      </w:tr>
    </w:tbl>
    <w:p>
      <w:pPr>
        <w:pBdr>
          <w:bottom w:val="single" w:color="0D7C8F" w:sz="2" w:space="4"/>
        </w:pBdr>
        <w:spacing w:after="160" w:before="360"/>
      </w:pPr>
      <w:r>
        <w:rPr>
          <w:rFonts w:ascii="Calibri" w:cs="Calibri" w:eastAsia="Calibri" w:hAnsi="Calibri"/>
          <w:b/>
          <w:bCs/>
          <w:color w:val="1B2A4A"/>
          <w:sz w:val="30"/>
          <w:szCs w:val="30"/>
        </w:rPr>
        <w:t xml:space="preserve">11.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Flat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results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completion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of scheduled counts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 vs completion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First-count accuracy (no recount needed)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Variance root cause resolved within SLA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RCA report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SAP-WMS reconciliation match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A-class count on-time completion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variance (absolute, A-class SKUs)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compliance (within 4-hour limit)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zone freeze log</w:t>
            </w:r>
          </w:p>
        </w:tc>
      </w:tr>
    </w:tbl>
    <w:p>
      <w:pPr>
        <w:pBdr>
          <w:bottom w:val="single" w:color="0D7C8F" w:sz="2" w:space="4"/>
        </w:pBdr>
        <w:spacing w:after="160" w:before="360"/>
      </w:pPr>
      <w:r>
        <w:rPr>
          <w:rFonts w:ascii="Calibri" w:cs="Calibri" w:eastAsia="Calibri" w:hAnsi="Calibri"/>
          <w:b/>
          <w:bCs/>
          <w:color w:val="1B2A4A"/>
          <w:sz w:val="30"/>
          <w:szCs w:val="30"/>
        </w:rPr>
        <w:t xml:space="preserve">12. Appendix: Sample Cycle Count Sheet</w:t>
      </w:r>
    </w:p>
    <w:p>
      <w:pPr>
        <w:spacing w:after="120"/>
        <w:jc w:val="left"/>
      </w:pPr>
      <w:r>
        <w:rPr>
          <w:rFonts w:ascii="Calibri" w:cs="Calibri" w:eastAsia="Calibri" w:hAnsi="Calibri"/>
          <w:b w:val="false"/>
          <w:bCs w:val="false"/>
          <w:i w:val="false"/>
          <w:iCs w:val="false"/>
          <w:color w:val="1F2937"/>
          <w:sz w:val="21"/>
          <w:szCs w:val="21"/>
        </w:rPr>
        <w:t xml:space="preserve">The following is an example of a WMS-generated Cycle Count Sheet (blind count method — book quantities hidden):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Location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UoM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Physical Count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(Black)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MCG-4421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(White)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MCG-8801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Organic Butter Lettuce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LOT-FD-2025-0847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MCG-8802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Basil (200g)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LOT-FD-2025-0912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G-01-05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MCG-9100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Premium Vanilla Ice Cream 1L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LOT-IC-2025-2204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S-03-02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MCG-5500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Wireless Noise-Cancel Headphones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13.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Jul 2021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cold chain zone counting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counter certification levels; expanded RCA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CFO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Nov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Updated variance thresholds after Q3 2024 audit; added SAP reconciliation timing guidance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RCA root cause frequency table; updated KPIs to include Q3 2025 actuals; added Appendix with sample count sheet; expanded pre-count preparation for security and 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14.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Anke de Vries</w:t>
      </w:r>
    </w:p>
    <w:p>
      <w:pPr>
        <w:spacing w:after="0"/>
      </w:pPr>
      <w:r>
        <w:rPr>
          <w:rFonts w:ascii="Calibri" w:cs="Calibri" w:eastAsia="Calibri" w:hAnsi="Calibri"/>
          <w:color w:val="6B7280"/>
          <w:sz w:val="19"/>
          <w:szCs w:val="19"/>
        </w:rPr>
        <w:t xml:space="preserve">Senior Inventory Control Analyst</w:t>
      </w:r>
    </w:p>
    <w:p>
      <w:pPr>
        <w:spacing w:after="0"/>
      </w:pPr>
      <w:r>
        <w:rPr>
          <w:rFonts w:ascii="Calibri" w:cs="Calibri" w:eastAsia="Calibri" w:hAnsi="Calibri"/>
          <w:i/>
          <w:iCs/>
          <w:color w:val="6B7280"/>
          <w:sz w:val="19"/>
          <w:szCs w:val="19"/>
        </w:rPr>
        <w:t xml:space="preserve">Inventory Control Team</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Executive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2026-08-27T22:56:09.934Z</dcterms:created>
  <dcterms:modified xsi:type="dcterms:W3CDTF">2026-08-27T22:56:09.934Z</dcterms:modified>
</cp:coreProperties>
</file>

<file path=docProps/custom.xml><?xml version="1.0" encoding="utf-8"?>
<Properties xmlns="http://schemas.openxmlformats.org/officeDocument/2006/custom-properties" xmlns:vt="http://schemas.openxmlformats.org/officeDocument/2006/docPropsVTypes"/>
</file>