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COMP-2025-NVWA: Corrective Action Plan — NVWA Citation Response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COMP-2025-NVWA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NVWA Citation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NVWA-2025-CIT-04412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Citation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12 June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Response Submitted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July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Dr. Elena Vasquez, Chief Compliance Officer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NVWA Inspector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Ir. Jan Willem Koster, Senior Inspector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Status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 Progress — 3 of 5 actions on track, 1 at risk</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Inspection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Expected Q1 2026</w:t>
            </w:r>
          </w:p>
        </w:tc>
      </w:tr>
    </w:tbl>
    <w:p>
      <w:pPr>
        <w:pBdr>
          <w:bottom w:val="single" w:color="0D7C8F" w:sz="2" w:space="4"/>
        </w:pBdr>
        <w:spacing w:after="160" w:before="360"/>
      </w:pPr>
      <w:r>
        <w:rPr>
          <w:rFonts w:ascii="Calibri" w:cs="Calibri" w:eastAsia="Calibri" w:hAnsi="Calibri"/>
          <w:b/>
          <w:bCs/>
          <w:color w:val="1B2A4A"/>
          <w:sz w:val="30"/>
          <w:szCs w:val="30"/>
        </w:rPr>
        <w:t xml:space="preserve">1. Citation Summary</w:t>
      </w:r>
    </w:p>
    <w:p>
      <w:pPr>
        <w:spacing w:after="120"/>
        <w:jc w:val="left"/>
      </w:pPr>
      <w:r>
        <w:rPr>
          <w:rFonts w:ascii="Calibri" w:cs="Calibri" w:eastAsia="Calibri" w:hAnsi="Calibri"/>
          <w:b w:val="false"/>
          <w:bCs w:val="false"/>
          <w:i w:val="false"/>
          <w:iCs w:val="false"/>
          <w:color w:val="1F2937"/>
          <w:sz w:val="21"/>
          <w:szCs w:val="21"/>
        </w:rPr>
        <w:t xml:space="preserve">On 12 June 2025, the Netherlands Food and Consumer Product Safety Authority (NVWA) conducted a routine inspection at MCG's Rotterdam Distribution Center (Europaweg 120, 3199 LD Rotterdam). The inspection coincided with the ongoing recall of organic butter lettuce (RCL-2025-003) and identified 5 findings: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Finding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Severity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Regulation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Major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numbers not consistently captured at goods receipt — free-text field allowed blank entries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EC 178/2002 Art. 18</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Unable to complete product trace within 24 hours — took 11 days during active recall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EC 178/2002 Art. 18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Significant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Country of origin missing for 12% of fresh produce SKUs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EC 1169/2011 Art. 26</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Significant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Sub-tier supplier relationships not documented for 64% of food suppliers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EC 178/2002 Art. 18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Observation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Inconsistent timestamp formats in temperature records across WMS and IoT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HACCP documentation standards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The two Major findings (F1, F2) require corrective action within 6 months or MCG risks escalation to enforcement proceedings, which could include production restrictions or facility closure orders.</w:t>
            </w:r>
          </w:p>
        </w:tc>
      </w:tr>
    </w:tbl>
    <w:p>
      <w:pPr>
        <w:pBdr>
          <w:bottom w:val="single" w:color="0D7C8F" w:sz="2" w:space="4"/>
        </w:pBdr>
        <w:spacing w:after="160" w:before="360"/>
      </w:pPr>
      <w:r>
        <w:rPr>
          <w:rFonts w:ascii="Calibri" w:cs="Calibri" w:eastAsia="Calibri" w:hAnsi="Calibri"/>
          <w:b/>
          <w:bCs/>
          <w:color w:val="1B2A4A"/>
          <w:sz w:val="30"/>
          <w:szCs w:val="30"/>
        </w:rPr>
        <w:t xml:space="preserve">2. Corrective Action Status</w:t>
      </w:r>
    </w:p>
    <w:p>
      <w:pPr>
        <w:spacing w:after="120" w:before="280"/>
      </w:pPr>
      <w:r>
        <w:rPr>
          <w:rFonts w:ascii="Calibri" w:cs="Calibri" w:eastAsia="Calibri" w:hAnsi="Calibri"/>
          <w:b/>
          <w:bCs/>
          <w:color w:val="0D7C8F"/>
          <w:sz w:val="26"/>
          <w:szCs w:val="26"/>
        </w:rPr>
        <w:t xml:space="preserve">2.1 Action 1: Lot Number Capture (F1)</w:t>
      </w:r>
    </w:p>
    <w:p>
      <w:pPr>
        <w:spacing w:after="80"/>
      </w:pPr>
      <w:r>
        <w:rPr>
          <w:rFonts w:ascii="Calibri" w:cs="Calibri" w:eastAsia="Calibri" w:hAnsi="Calibri"/>
          <w:b/>
          <w:bCs/>
          <w:color w:val="1B2A4A"/>
          <w:sz w:val="21"/>
          <w:szCs w:val="21"/>
        </w:rPr>
        <w:t xml:space="preserve">Target: </w:t>
      </w:r>
      <w:r>
        <w:rPr>
          <w:rFonts w:ascii="Calibri" w:cs="Calibri" w:eastAsia="Calibri" w:hAnsi="Calibri"/>
          <w:color w:val="1F2937"/>
          <w:sz w:val="21"/>
          <w:szCs w:val="21"/>
        </w:rPr>
        <w:t xml:space="preserve">100% lot capture for all food products at all food-handling DCs</w:t>
      </w:r>
    </w:p>
    <w:p>
      <w:pPr>
        <w:spacing w:after="80"/>
      </w:pPr>
      <w:r>
        <w:rPr>
          <w:rFonts w:ascii="Calibri" w:cs="Calibri" w:eastAsia="Calibri" w:hAnsi="Calibri"/>
          <w:b/>
          <w:bCs/>
          <w:color w:val="1B2A4A"/>
          <w:sz w:val="21"/>
          <w:szCs w:val="21"/>
        </w:rPr>
        <w:t xml:space="preserve">Deadline: </w:t>
      </w:r>
      <w:r>
        <w:rPr>
          <w:rFonts w:ascii="Calibri" w:cs="Calibri" w:eastAsia="Calibri" w:hAnsi="Calibri"/>
          <w:color w:val="1F2937"/>
          <w:sz w:val="21"/>
          <w:szCs w:val="21"/>
        </w:rPr>
        <w:t xml:space="preserve">01 October 2025</w:t>
      </w:r>
    </w:p>
    <w:p>
      <w:pPr>
        <w:spacing w:after="80"/>
      </w:pPr>
      <w:r>
        <w:rPr>
          <w:rFonts w:ascii="Calibri" w:cs="Calibri" w:eastAsia="Calibri" w:hAnsi="Calibri"/>
          <w:b/>
          <w:bCs/>
          <w:color w:val="1B2A4A"/>
          <w:sz w:val="21"/>
          <w:szCs w:val="21"/>
        </w:rPr>
        <w:t xml:space="preserve">Status: </w:t>
      </w:r>
      <w:r>
        <w:rPr>
          <w:rFonts w:ascii="Calibri" w:cs="Calibri" w:eastAsia="Calibri" w:hAnsi="Calibri"/>
          <w:color w:val="1F2937"/>
          <w:sz w:val="21"/>
          <w:szCs w:val="21"/>
        </w:rPr>
        <w:t xml:space="preserve">93% complete — On Track</w:t>
      </w:r>
    </w:p>
    <w:p>
      <w:pPr>
        <w:spacing w:after="120"/>
        <w:jc w:val="left"/>
      </w:pPr>
      <w:r>
        <w:rPr>
          <w:rFonts w:ascii="Calibri" w:cs="Calibri" w:eastAsia="Calibri" w:hAnsi="Calibri"/>
          <w:b w:val="false"/>
          <w:bCs w:val="false"/>
          <w:i w:val="false"/>
          <w:iCs w:val="false"/>
          <w:color w:val="1F2937"/>
          <w:sz w:val="21"/>
          <w:szCs w:val="21"/>
        </w:rPr>
        <w:t xml:space="preserve">Changes implemented: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WMS goods receipt forms converted from free-text to structured input with mandatory validation — blank lot numbers now blocked at system level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Barcode scanning now required for lot entry at 24 of 28 food-handling DCs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Remaining 7% gap: 4 legacy warehouse locations (Rotterdam Zone C, Antwerp Annex, Hamburg Cold Store, Milan Fresh Wing) using older Symbol MC9190 handheld scanners that require firmware update to support the new structured input format</w:t>
      </w:r>
    </w:p>
    <w:p>
      <w:pPr>
        <w:spacing w:after="80"/>
      </w:pPr>
      <w:r>
        <w:rPr>
          <w:rFonts w:ascii="Calibri" w:cs="Calibri" w:eastAsia="Calibri" w:hAnsi="Calibri"/>
          <w:b/>
          <w:bCs/>
          <w:color w:val="1B2A4A"/>
          <w:sz w:val="21"/>
          <w:szCs w:val="21"/>
        </w:rPr>
        <w:t xml:space="preserve">Firmware Update Schedule: </w:t>
      </w:r>
      <w:r>
        <w:rPr>
          <w:rFonts w:ascii="Calibri" w:cs="Calibri" w:eastAsia="Calibri" w:hAnsi="Calibri"/>
          <w:color w:val="1F2937"/>
          <w:sz w:val="21"/>
          <w:szCs w:val="21"/>
        </w:rPr>
        <w:t xml:space="preserve">Rotterdam Zone C: 10 Oct, Antwerp: 17 Oct, Hamburg: 24 Oct, Milan: 31 Oct</w:t>
      </w:r>
    </w:p>
    <w:p>
      <w:pPr>
        <w:spacing w:after="120" w:before="280"/>
      </w:pPr>
      <w:r>
        <w:rPr>
          <w:rFonts w:ascii="Calibri" w:cs="Calibri" w:eastAsia="Calibri" w:hAnsi="Calibri"/>
          <w:b/>
          <w:bCs/>
          <w:color w:val="0D7C8F"/>
          <w:sz w:val="26"/>
          <w:szCs w:val="26"/>
        </w:rPr>
        <w:t xml:space="preserve">2.2 Action 2: Store-Level Lot Tracking (F2)</w:t>
      </w:r>
    </w:p>
    <w:p>
      <w:pPr>
        <w:spacing w:after="80"/>
      </w:pPr>
      <w:r>
        <w:rPr>
          <w:rFonts w:ascii="Calibri" w:cs="Calibri" w:eastAsia="Calibri" w:hAnsi="Calibri"/>
          <w:b/>
          <w:bCs/>
          <w:color w:val="1B2A4A"/>
          <w:sz w:val="21"/>
          <w:szCs w:val="21"/>
        </w:rPr>
        <w:t xml:space="preserve">Target: </w:t>
      </w:r>
      <w:r>
        <w:rPr>
          <w:rFonts w:ascii="Calibri" w:cs="Calibri" w:eastAsia="Calibri" w:hAnsi="Calibri"/>
          <w:color w:val="1F2937"/>
          <w:sz w:val="21"/>
          <w:szCs w:val="21"/>
        </w:rPr>
        <w:t xml:space="preserve">90% lot-level tracking at retail stores</w:t>
      </w:r>
    </w:p>
    <w:p>
      <w:pPr>
        <w:spacing w:after="80"/>
      </w:pPr>
      <w:r>
        <w:rPr>
          <w:rFonts w:ascii="Calibri" w:cs="Calibri" w:eastAsia="Calibri" w:hAnsi="Calibri"/>
          <w:b/>
          <w:bCs/>
          <w:color w:val="1B2A4A"/>
          <w:sz w:val="21"/>
          <w:szCs w:val="21"/>
        </w:rPr>
        <w:t xml:space="preserve">Deadline: </w:t>
      </w:r>
      <w:r>
        <w:rPr>
          <w:rFonts w:ascii="Calibri" w:cs="Calibri" w:eastAsia="Calibri" w:hAnsi="Calibri"/>
          <w:color w:val="1F2937"/>
          <w:sz w:val="21"/>
          <w:szCs w:val="21"/>
        </w:rPr>
        <w:t xml:space="preserve">01 March 2026</w:t>
      </w:r>
    </w:p>
    <w:p>
      <w:pPr>
        <w:spacing w:after="80"/>
      </w:pPr>
      <w:r>
        <w:rPr>
          <w:rFonts w:ascii="Calibri" w:cs="Calibri" w:eastAsia="Calibri" w:hAnsi="Calibri"/>
          <w:b/>
          <w:bCs/>
          <w:color w:val="1B2A4A"/>
          <w:sz w:val="21"/>
          <w:szCs w:val="21"/>
        </w:rPr>
        <w:t xml:space="preserve">Status: </w:t>
      </w:r>
      <w:r>
        <w:rPr>
          <w:rFonts w:ascii="Calibri" w:cs="Calibri" w:eastAsia="Calibri" w:hAnsi="Calibri"/>
          <w:color w:val="1F2937"/>
          <w:sz w:val="21"/>
          <w:szCs w:val="21"/>
        </w:rPr>
        <w:t xml:space="preserve">78% complete — In Progress</w:t>
      </w:r>
    </w:p>
    <w:p>
      <w:pPr>
        <w:spacing w:after="120"/>
        <w:jc w:val="left"/>
      </w:pPr>
      <w:r>
        <w:rPr>
          <w:rFonts w:ascii="Calibri" w:cs="Calibri" w:eastAsia="Calibri" w:hAnsi="Calibri"/>
          <w:b w:val="false"/>
          <w:bCs w:val="false"/>
          <w:i w:val="false"/>
          <w:iCs w:val="false"/>
          <w:color w:val="1F2937"/>
          <w:sz w:val="21"/>
          <w:szCs w:val="21"/>
        </w:rPr>
        <w:t xml:space="preserve">Store POS systems being updated to scan and record lot numbers at receipt. Current rollout: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Store Format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Total Stores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Upgraded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Pending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 Complete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Hypermarket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338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 Supermarket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Express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Total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890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78%</w:t>
            </w:r>
          </w:p>
        </w:tc>
      </w:tr>
    </w:tbl>
    <w:p>
      <w:pPr>
        <w:spacing w:after="120"/>
        <w:jc w:val="left"/>
      </w:pPr>
      <w:r>
        <w:rPr>
          <w:rFonts w:ascii="Calibri" w:cs="Calibri" w:eastAsia="Calibri" w:hAnsi="Calibri"/>
          <w:b w:val="false"/>
          <w:bCs w:val="false"/>
          <w:i w:val="false"/>
          <w:iCs w:val="false"/>
          <w:color w:val="1F2937"/>
          <w:sz w:val="21"/>
          <w:szCs w:val="21"/>
        </w:rPr>
        <w:t xml:space="preserve">The MCG Express format stores require a POS hardware upgrade (current terminals lack barcode scanning capability for lot numbers). Hardware procurement is approved; installation scheduled for November 2025 — February 2026.</w:t>
      </w:r>
    </w:p>
    <w:p>
      <w:pPr>
        <w:spacing w:after="120" w:before="280"/>
      </w:pPr>
      <w:r>
        <w:rPr>
          <w:rFonts w:ascii="Calibri" w:cs="Calibri" w:eastAsia="Calibri" w:hAnsi="Calibri"/>
          <w:b/>
          <w:bCs/>
          <w:color w:val="0D7C8F"/>
          <w:sz w:val="26"/>
          <w:szCs w:val="26"/>
        </w:rPr>
        <w:t xml:space="preserve">2.3 Action 3: Unified Traceability (F2)</w:t>
      </w:r>
    </w:p>
    <w:p>
      <w:pPr>
        <w:spacing w:after="80"/>
      </w:pPr>
      <w:r>
        <w:rPr>
          <w:rFonts w:ascii="Calibri" w:cs="Calibri" w:eastAsia="Calibri" w:hAnsi="Calibri"/>
          <w:b/>
          <w:bCs/>
          <w:color w:val="1B2A4A"/>
          <w:sz w:val="21"/>
          <w:szCs w:val="21"/>
        </w:rPr>
        <w:t xml:space="preserve">Target: </w:t>
      </w:r>
      <w:r>
        <w:rPr>
          <w:rFonts w:ascii="Calibri" w:cs="Calibri" w:eastAsia="Calibri" w:hAnsi="Calibri"/>
          <w:color w:val="1F2937"/>
          <w:sz w:val="21"/>
          <w:szCs w:val="21"/>
        </w:rPr>
        <w:t xml:space="preserve">Single-query traceability across SAP, WMS, TMS, and Salesforce Commerce</w:t>
      </w:r>
    </w:p>
    <w:p>
      <w:pPr>
        <w:spacing w:after="80"/>
      </w:pPr>
      <w:r>
        <w:rPr>
          <w:rFonts w:ascii="Calibri" w:cs="Calibri" w:eastAsia="Calibri" w:hAnsi="Calibri"/>
          <w:b/>
          <w:bCs/>
          <w:color w:val="1B2A4A"/>
          <w:sz w:val="21"/>
          <w:szCs w:val="21"/>
        </w:rPr>
        <w:t xml:space="preserve">Deadline: </w:t>
      </w:r>
      <w:r>
        <w:rPr>
          <w:rFonts w:ascii="Calibri" w:cs="Calibri" w:eastAsia="Calibri" w:hAnsi="Calibri"/>
          <w:color w:val="1F2937"/>
          <w:sz w:val="21"/>
          <w:szCs w:val="21"/>
        </w:rPr>
        <w:t xml:space="preserve">Dependent on Project Qlarity Phase 1</w:t>
      </w:r>
    </w:p>
    <w:p>
      <w:pPr>
        <w:spacing w:after="80"/>
      </w:pPr>
      <w:r>
        <w:rPr>
          <w:rFonts w:ascii="Calibri" w:cs="Calibri" w:eastAsia="Calibri" w:hAnsi="Calibri"/>
          <w:b/>
          <w:bCs/>
          <w:color w:val="1B2A4A"/>
          <w:sz w:val="21"/>
          <w:szCs w:val="21"/>
        </w:rPr>
        <w:t xml:space="preserve">Status: </w:t>
      </w:r>
      <w:r>
        <w:rPr>
          <w:rFonts w:ascii="Calibri" w:cs="Calibri" w:eastAsia="Calibri" w:hAnsi="Calibri"/>
          <w:color w:val="1F2937"/>
          <w:sz w:val="21"/>
          <w:szCs w:val="21"/>
        </w:rPr>
        <w:t xml:space="preserve">Business case submitted — Pending CIO approval (31 October 2025)</w:t>
      </w:r>
    </w:p>
    <w:p>
      <w:pPr>
        <w:spacing w:after="120"/>
        <w:jc w:val="left"/>
      </w:pPr>
      <w:r>
        <w:rPr>
          <w:rFonts w:ascii="Calibri" w:cs="Calibri" w:eastAsia="Calibri" w:hAnsi="Calibri"/>
          <w:b w:val="false"/>
          <w:bCs w:val="false"/>
          <w:i w:val="false"/>
          <w:iCs w:val="false"/>
          <w:color w:val="1F2937"/>
          <w:sz w:val="21"/>
          <w:szCs w:val="21"/>
        </w:rPr>
        <w:t xml:space="preserve">This corrective action depends on the implementation of Project Qlarity, which will create a unified data layer connecting all 4 traceability systems via Qlik Talend Cloud CDC pipelines and a Qlik Open Lakehouse. The business case ($12.4M over 24 months) was presented to senior leadership on 15 October 2025.</w:t>
      </w:r>
    </w:p>
    <w:p>
      <w:pPr>
        <w:spacing w:after="120"/>
        <w:jc w:val="left"/>
      </w:pPr>
      <w:r>
        <w:rPr>
          <w:rFonts w:ascii="Calibri" w:cs="Calibri" w:eastAsia="Calibri" w:hAnsi="Calibri"/>
          <w:b w:val="false"/>
          <w:bCs w:val="false"/>
          <w:i w:val="false"/>
          <w:iCs w:val="false"/>
          <w:color w:val="1F2937"/>
          <w:sz w:val="21"/>
          <w:szCs w:val="21"/>
        </w:rPr>
        <w:t xml:space="preserve">If approved, the traceability data product (Phase 1) would be operational by Q3 2026, enabling single-query lot-to-store tracing in under 1 hour.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NVWA PREPARATION: For the Q1 2026 follow-up inspection, MCG must demonstrate at minimum an approved project plan with committed timeline and budget. A verbal commitment is not sufficient — the inspector will expect a signed project charter and evidence of vendor engagement.</w:t>
            </w:r>
          </w:p>
        </w:tc>
      </w:tr>
    </w:tbl>
    <w:p>
      <w:pPr>
        <w:spacing w:after="120" w:before="280"/>
      </w:pPr>
      <w:r>
        <w:rPr>
          <w:rFonts w:ascii="Calibri" w:cs="Calibri" w:eastAsia="Calibri" w:hAnsi="Calibri"/>
          <w:b/>
          <w:bCs/>
          <w:color w:val="0D7C8F"/>
          <w:sz w:val="26"/>
          <w:szCs w:val="26"/>
        </w:rPr>
        <w:t xml:space="preserve">2.4 Action 4: Sub-Tier Supplier Mapping (F4)</w:t>
      </w:r>
    </w:p>
    <w:p>
      <w:pPr>
        <w:spacing w:after="80"/>
      </w:pPr>
      <w:r>
        <w:rPr>
          <w:rFonts w:ascii="Calibri" w:cs="Calibri" w:eastAsia="Calibri" w:hAnsi="Calibri"/>
          <w:b/>
          <w:bCs/>
          <w:color w:val="1B2A4A"/>
          <w:sz w:val="21"/>
          <w:szCs w:val="21"/>
        </w:rPr>
        <w:t xml:space="preserve">Target: </w:t>
      </w:r>
      <w:r>
        <w:rPr>
          <w:rFonts w:ascii="Calibri" w:cs="Calibri" w:eastAsia="Calibri" w:hAnsi="Calibri"/>
          <w:color w:val="1F2937"/>
          <w:sz w:val="21"/>
          <w:szCs w:val="21"/>
        </w:rPr>
        <w:t xml:space="preserve">80% of food suppliers with documented sub-tier relationships</w:t>
      </w:r>
    </w:p>
    <w:p>
      <w:pPr>
        <w:spacing w:after="80"/>
      </w:pPr>
      <w:r>
        <w:rPr>
          <w:rFonts w:ascii="Calibri" w:cs="Calibri" w:eastAsia="Calibri" w:hAnsi="Calibri"/>
          <w:b/>
          <w:bCs/>
          <w:color w:val="1B2A4A"/>
          <w:sz w:val="21"/>
          <w:szCs w:val="21"/>
        </w:rPr>
        <w:t xml:space="preserve">Deadline: </w:t>
      </w:r>
      <w:r>
        <w:rPr>
          <w:rFonts w:ascii="Calibri" w:cs="Calibri" w:eastAsia="Calibri" w:hAnsi="Calibri"/>
          <w:color w:val="1F2937"/>
          <w:sz w:val="21"/>
          <w:szCs w:val="21"/>
        </w:rPr>
        <w:t xml:space="preserve">01 January 2026</w:t>
      </w:r>
    </w:p>
    <w:p>
      <w:pPr>
        <w:spacing w:after="80"/>
      </w:pPr>
      <w:r>
        <w:rPr>
          <w:rFonts w:ascii="Calibri" w:cs="Calibri" w:eastAsia="Calibri" w:hAnsi="Calibri"/>
          <w:b/>
          <w:bCs/>
          <w:color w:val="1B2A4A"/>
          <w:sz w:val="21"/>
          <w:szCs w:val="21"/>
        </w:rPr>
        <w:t xml:space="preserve">Status: </w:t>
      </w:r>
      <w:r>
        <w:rPr>
          <w:rFonts w:ascii="Calibri" w:cs="Calibri" w:eastAsia="Calibri" w:hAnsi="Calibri"/>
          <w:color w:val="1F2937"/>
          <w:sz w:val="21"/>
          <w:szCs w:val="21"/>
        </w:rPr>
        <w:t xml:space="preserve">36% complete — AT RISK ⚠</w:t>
      </w:r>
    </w:p>
    <w:p>
      <w:pPr>
        <w:spacing w:after="120"/>
        <w:jc w:val="left"/>
      </w:pPr>
      <w:r>
        <w:rPr>
          <w:rFonts w:ascii="Calibri" w:cs="Calibri" w:eastAsia="Calibri" w:hAnsi="Calibri"/>
          <w:b w:val="false"/>
          <w:bCs w:val="false"/>
          <w:i w:val="false"/>
          <w:iCs w:val="false"/>
          <w:color w:val="1F2937"/>
          <w:sz w:val="21"/>
          <w:szCs w:val="21"/>
        </w:rPr>
        <w:t xml:space="preserve">This action is significantly behind schedule. Progress by supplier category: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Suppliers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Mapped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 Complete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Primary Blocker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Fresh produce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Sub-tier farm confidentiality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Complex supply chains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Frozen goods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Multi-tier processing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Beverages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Low priority (lower risk category)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Other food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Resource constraints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Total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Many suppliers cite commercial confidentiality when asked to disclose sub-tier relationships. The Fresh Direct lettuce recall (RCL-2025-003) demonstrated the risk: the contaminated farm (FARM-NL-0042) was an undisclosed backup supplier with an expired HACCP certification. MCG Legal is evaluating whether to mandate sub-tier disclosure as a contract requirement for all food suppliers.</w:t>
            </w:r>
          </w:p>
        </w:tc>
      </w:tr>
    </w:tbl>
    <w:p>
      <w:pPr>
        <w:spacing w:after="120" w:before="280"/>
      </w:pPr>
      <w:r>
        <w:rPr>
          <w:rFonts w:ascii="Calibri" w:cs="Calibri" w:eastAsia="Calibri" w:hAnsi="Calibri"/>
          <w:b/>
          <w:bCs/>
          <w:color w:val="0D7C8F"/>
          <w:sz w:val="26"/>
          <w:szCs w:val="26"/>
        </w:rPr>
        <w:t xml:space="preserve">2.5 Action 5: Country of Origin Compliance (F3)</w:t>
      </w:r>
    </w:p>
    <w:p>
      <w:pPr>
        <w:spacing w:after="80"/>
      </w:pPr>
      <w:r>
        <w:rPr>
          <w:rFonts w:ascii="Calibri" w:cs="Calibri" w:eastAsia="Calibri" w:hAnsi="Calibri"/>
          <w:b/>
          <w:bCs/>
          <w:color w:val="1B2A4A"/>
          <w:sz w:val="21"/>
          <w:szCs w:val="21"/>
        </w:rPr>
        <w:t xml:space="preserve">Target: </w:t>
      </w:r>
      <w:r>
        <w:rPr>
          <w:rFonts w:ascii="Calibri" w:cs="Calibri" w:eastAsia="Calibri" w:hAnsi="Calibri"/>
          <w:color w:val="1F2937"/>
          <w:sz w:val="21"/>
          <w:szCs w:val="21"/>
        </w:rPr>
        <w:t xml:space="preserve">100% country of origin for fresh produce SKUs</w:t>
      </w:r>
    </w:p>
    <w:p>
      <w:pPr>
        <w:spacing w:after="80"/>
      </w:pPr>
      <w:r>
        <w:rPr>
          <w:rFonts w:ascii="Calibri" w:cs="Calibri" w:eastAsia="Calibri" w:hAnsi="Calibri"/>
          <w:b/>
          <w:bCs/>
          <w:color w:val="1B2A4A"/>
          <w:sz w:val="21"/>
          <w:szCs w:val="21"/>
        </w:rPr>
        <w:t xml:space="preserve">Deadline: </w:t>
      </w:r>
      <w:r>
        <w:rPr>
          <w:rFonts w:ascii="Calibri" w:cs="Calibri" w:eastAsia="Calibri" w:hAnsi="Calibri"/>
          <w:color w:val="1F2937"/>
          <w:sz w:val="21"/>
          <w:szCs w:val="21"/>
        </w:rPr>
        <w:t xml:space="preserve">01 November 2025</w:t>
      </w:r>
    </w:p>
    <w:p>
      <w:pPr>
        <w:spacing w:after="80"/>
      </w:pPr>
      <w:r>
        <w:rPr>
          <w:rFonts w:ascii="Calibri" w:cs="Calibri" w:eastAsia="Calibri" w:hAnsi="Calibri"/>
          <w:b/>
          <w:bCs/>
          <w:color w:val="1B2A4A"/>
          <w:sz w:val="21"/>
          <w:szCs w:val="21"/>
        </w:rPr>
        <w:t xml:space="preserve">Status: </w:t>
      </w:r>
      <w:r>
        <w:rPr>
          <w:rFonts w:ascii="Calibri" w:cs="Calibri" w:eastAsia="Calibri" w:hAnsi="Calibri"/>
          <w:color w:val="1F2937"/>
          <w:sz w:val="21"/>
          <w:szCs w:val="21"/>
        </w:rPr>
        <w:t xml:space="preserve">88% complete — On Track</w:t>
      </w:r>
    </w:p>
    <w:p>
      <w:pPr>
        <w:spacing w:after="120"/>
        <w:jc w:val="left"/>
      </w:pPr>
      <w:r>
        <w:rPr>
          <w:rFonts w:ascii="Calibri" w:cs="Calibri" w:eastAsia="Calibri" w:hAnsi="Calibri"/>
          <w:b w:val="false"/>
          <w:bCs w:val="false"/>
          <w:i w:val="false"/>
          <w:iCs w:val="false"/>
          <w:color w:val="1F2937"/>
          <w:sz w:val="21"/>
          <w:szCs w:val="21"/>
        </w:rPr>
        <w:t xml:space="preserve">Procurement has updated supplier requirements to mandate country of origin on all delivery documentation. The remaining 12% gap consists of 47 SKUs sourced from multi-origin suppliers where country of origin varies by shipment and season (e.g., tomatoes sourced from Spain in summer, Morocco in winter). A dynamic origin tracking process is being developed.</w:t>
      </w:r>
    </w:p>
    <w:p>
      <w:pPr>
        <w:pBdr>
          <w:bottom w:val="single" w:color="0D7C8F" w:sz="2" w:space="4"/>
        </w:pBdr>
        <w:spacing w:after="160" w:before="360"/>
      </w:pPr>
      <w:r>
        <w:rPr>
          <w:rFonts w:ascii="Calibri" w:cs="Calibri" w:eastAsia="Calibri" w:hAnsi="Calibri"/>
          <w:b/>
          <w:bCs/>
          <w:color w:val="1B2A4A"/>
          <w:sz w:val="30"/>
          <w:szCs w:val="30"/>
        </w:rPr>
        <w:t xml:space="preserve">3. Evidence File for Follow-Up Inspection</w:t>
      </w:r>
    </w:p>
    <w:p>
      <w:pPr>
        <w:spacing w:after="120"/>
        <w:jc w:val="left"/>
      </w:pPr>
      <w:r>
        <w:rPr>
          <w:rFonts w:ascii="Calibri" w:cs="Calibri" w:eastAsia="Calibri" w:hAnsi="Calibri"/>
          <w:b w:val="false"/>
          <w:bCs w:val="false"/>
          <w:i w:val="false"/>
          <w:iCs w:val="false"/>
          <w:color w:val="1F2937"/>
          <w:sz w:val="21"/>
          <w:szCs w:val="21"/>
        </w:rPr>
        <w:t xml:space="preserve">MCG is preparing a comprehensive evidence file for the anticipated Q1 2026 NVWA follow-up inspection: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Lot number capture statistics — monthly reports from WMS showing compliance trend</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Store-level tracking rollout schedule and completion evidence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Project Qlarity charter (signed) with traceability milestone dates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Sub-tier supplier mapping progress report with category breakdown</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Country of origin compliance report from procurement system</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Updated SOPs incorporating all corrective action changes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Dr. Elena Vasquez</w:t>
      </w:r>
    </w:p>
    <w:p>
      <w:pPr>
        <w:spacing w:after="0"/>
      </w:pPr>
      <w:r>
        <w:rPr>
          <w:rFonts w:ascii="Calibri" w:cs="Calibri" w:eastAsia="Calibri" w:hAnsi="Calibri"/>
          <w:color w:val="6B7280"/>
          <w:sz w:val="19"/>
          <w:szCs w:val="19"/>
        </w:rPr>
        <w:t xml:space="preserve">Chief Compliance Officer</w:t>
      </w:r>
    </w:p>
    <w:p>
      <w:pPr>
        <w:spacing w:after="0"/>
      </w:pPr>
      <w:r>
        <w:rPr>
          <w:rFonts w:ascii="Calibri" w:cs="Calibri" w:eastAsia="Calibri" w:hAnsi="Calibri"/>
          <w:i/>
          <w:iCs/>
          <w:color w:val="6B7280"/>
          <w:sz w:val="19"/>
          <w:szCs w:val="19"/>
        </w:rPr>
        <w:t xml:space="preserve">Legal &amp; Compliance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CORRECTIVE ACTION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2026-07-14T19:22:10.895Z</dcterms:created>
  <dcterms:modified xsi:type="dcterms:W3CDTF">2026-07-14T19:22:10.895Z</dcterms:modified>
</cp:coreProperties>
</file>

<file path=docProps/custom.xml><?xml version="1.0" encoding="utf-8"?>
<Properties xmlns="http://schemas.openxmlformats.org/officeDocument/2006/custom-properties" xmlns:vt="http://schemas.openxmlformats.org/officeDocument/2006/docPropsVTypes"/>
</file>