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6580" w:sz="2" w:space="4"/>
        </w:pBdr>
        <w:spacing w:after="160" w:before="360"/>
      </w:pPr>
      <w:r>
        <w:rPr>
          <w:rFonts w:ascii="Inter" w:cs="Inter" w:eastAsia="Inter" w:hAnsi="Inter"/>
          <w:b/>
          <w:bCs/>
          <w:color w:val="19416C"/>
          <w:sz w:val="30"/>
          <w:szCs w:val="30"/>
        </w:rPr>
        <w:t xml:space="preserve">Module 5: Data Products &amp; API Sharing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Duration</w:t>
            </w:r>
          </w:p>
        </w:tc>
        <w:tc>
          <w:tcPr>
            <w:tcW w:type="pct" w:w="70%"/>
            <w:shd w:color="F6F7F8" w:val="solid"/>
            <w:tcMar>
              <w:top w:type="dxa" w:w="40"/>
              <w:left w:type="dxa" w:w="100"/>
              <w:bottom w:type="dxa" w:w="40"/>
              <w:right w:type="dxa" w:w="100"/>
            </w:tcMar>
          </w:tcPr>
          <w:p>
            <w:pPr>
              <w:spacing w:after="0"/>
            </w:pPr>
            <w:r>
              <w:rPr>
                <w:rFonts w:ascii="Inter" w:cs="Inter" w:eastAsia="Inter" w:hAnsi="Inter"/>
                <w:color w:val="54565A"/>
                <w:sz w:val="20"/>
                <w:szCs w:val="20"/>
              </w:rPr>
              <w:t xml:space="preserve">10-15 minutes</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Checklist Phase</w:t>
            </w:r>
          </w:p>
        </w:tc>
        <w:tc>
          <w:tcPr>
            <w:tcW w:type="pct" w:w="70%"/>
            <w:shd w:color="F6F7F8" w:val="solid"/>
            <w:tcMar>
              <w:top w:type="dxa" w:w="40"/>
              <w:left w:type="dxa" w:w="100"/>
              <w:bottom w:type="dxa" w:w="40"/>
              <w:right w:type="dxa" w:w="100"/>
            </w:tcMar>
          </w:tcPr>
          <w:p>
            <w:pPr>
              <w:spacing w:after="0"/>
            </w:pPr>
            <w:r>
              <w:rPr>
                <w:rFonts w:ascii="Inter" w:cs="Inter" w:eastAsia="Inter" w:hAnsi="Inter"/>
                <w:color w:val="54565A"/>
                <w:sz w:val="20"/>
                <w:szCs w:val="20"/>
              </w:rPr>
              <w:t xml:space="preserve">Phase 4</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Nightmares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54565A"/>
                <w:sz w:val="20"/>
                <w:szCs w:val="20"/>
              </w:rPr>
              <w:t xml:space="preserve">All 7 (every nightmare feeds at least one data product)</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Components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54565A"/>
                <w:sz w:val="20"/>
                <w:szCs w:val="20"/>
              </w:rPr>
              <w:t xml:space="preserve">Data Products, AI-Driven Descriptions, Semantic Types, Validation Rules, API Sharing, Data Marketplace</w:t>
            </w:r>
          </w:p>
        </w:tc>
      </w:tr>
    </w:tbl>
    <w:p>
      <w:pPr>
        <w:spacing w:after="120" w:before="80"/>
      </w:pPr>
      <w:r>
        <w:rPr>
          <w:rFonts w:ascii="Inter" w:cs="Inter" w:eastAsia="Inter" w:hAnsi="Inter"/>
          <w:b/>
          <w:bCs/>
          <w:color w:val="006580"/>
          <w:sz w:val="20"/>
          <w:szCs w:val="20"/>
        </w:rPr>
        <w:t xml:space="preserve">Project Qlarity context:  </w:t>
      </w:r>
      <w:r>
        <w:rPr>
          <w:rFonts w:ascii="Inter" w:cs="Inter" w:eastAsia="Inter" w:hAnsi="Inter"/>
          <w:i/>
          <w:iCs/>
          <w:color w:val="54565A"/>
          <w:sz w:val="20"/>
          <w:szCs w:val="20"/>
        </w:rPr>
        <w:t xml:space="preserve">Project Qlarity Phase 2 (Analytics &amp; Quality): the governed Gold data products. Owners, SLAs, Trust Scores, and validation rules that route violations to stewardship are how Qlarity makes the remediation of all Seven Nightmares durable and consumable.</w:t>
      </w:r>
    </w:p>
    <w:p>
      <w:pPr>
        <w:spacing w:after="120" w:before="280"/>
      </w:pPr>
      <w:r>
        <w:rPr>
          <w:rFonts w:ascii="Inter" w:cs="Inter" w:eastAsia="Inter" w:hAnsi="Inter"/>
          <w:b/>
          <w:bCs/>
          <w:color w:val="006580"/>
          <w:sz w:val="26"/>
          <w:szCs w:val="26"/>
        </w:rPr>
        <w:t xml:space="preserve">Overview</w:t>
      </w:r>
    </w:p>
    <w:p>
      <w:pPr>
        <w:spacing w:after="120"/>
        <w:jc w:val="left"/>
      </w:pPr>
      <w:r>
        <w:rPr>
          <w:rFonts w:ascii="Inter" w:cs="Inter" w:eastAsia="Inter" w:hAnsi="Inter"/>
          <w:b w:val="false"/>
          <w:bCs w:val="false"/>
          <w:i w:val="false"/>
          <w:iCs w:val="false"/>
          <w:color w:val="54565A"/>
          <w:sz w:val="21"/>
          <w:szCs w:val="21"/>
        </w:rPr>
        <w:t xml:space="preserve">Gold-layer tables become governed Data Products with owners, SLAs, Trust Scores, and API access. AI automatically generates descriptions and suggests validation rules. The Data Marketplace lets business users discover and request access to data products.</w:t>
      </w:r>
    </w:p>
    <w:p>
      <w:pPr>
        <w:spacing w:after="120" w:before="280"/>
      </w:pPr>
      <w:r>
        <w:rPr>
          <w:rFonts w:ascii="Inter" w:cs="Inter" w:eastAsia="Inter" w:hAnsi="Inter"/>
          <w:b/>
          <w:bCs/>
          <w:color w:val="006580"/>
          <w:sz w:val="26"/>
          <w:szCs w:val="26"/>
        </w:rPr>
        <w:t xml:space="preserve">Demo Walk-Through</w:t>
      </w:r>
    </w:p>
    <w:p>
      <w:pPr>
        <w:spacing w:after="120" w:before="280"/>
      </w:pPr>
      <w:r>
        <w:rPr>
          <w:rFonts w:ascii="Inter" w:cs="Inter" w:eastAsia="Inter" w:hAnsi="Inter"/>
          <w:b/>
          <w:bCs/>
          <w:color w:val="006580"/>
          <w:sz w:val="26"/>
          <w:szCs w:val="26"/>
        </w:rPr>
        <w:t xml:space="preserve">Demo Methodology: Tell → Show → Tell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19416C" w:val="solid"/>
          </w:tcPr>
          <w:p>
            <w:pPr>
              <w:spacing w:after="0"/>
            </w:pPr>
            <w:r>
              <w:rPr>
                <w:sz w:val="10"/>
                <w:szCs w:val="10"/>
              </w:rPr>
              <w:t xml:space="preserve"> </w:t>
            </w:r>
          </w:p>
        </w:tc>
        <w:tc>
          <w:tcPr>
            <w:tcW w:type="pct" w:w="98%"/>
            <w:shd w:color="E3EAF3" w:val="solid"/>
            <w:tcMar>
              <w:top w:type="dxa" w:w="60"/>
              <w:left w:type="dxa" w:w="120"/>
              <w:bottom w:type="dxa" w:w="60"/>
              <w:right w:type="dxa" w:w="120"/>
            </w:tcMar>
          </w:tcPr>
          <w:p>
            <w:pPr>
              <w:spacing w:after="40"/>
            </w:pPr>
            <w:r>
              <w:rPr>
                <w:rFonts w:ascii="Inter" w:cs="Inter" w:eastAsia="Inter" w:hAnsi="Inter"/>
                <w:b/>
                <w:bCs/>
                <w:color w:val="19416C"/>
                <w:sz w:val="18"/>
                <w:szCs w:val="18"/>
              </w:rPr>
              <w:t xml:space="preserve">Limbic Opening  (Industry Insights)</w:t>
            </w:r>
          </w:p>
          <w:p>
            <w:pPr>
              <w:spacing w:after="0"/>
            </w:pPr>
            <w:r>
              <w:rPr>
                <w:rFonts w:ascii="Inter" w:cs="Inter" w:eastAsia="Inter" w:hAnsi="Inter"/>
                <w:i/>
                <w:iCs/>
                <w:color w:val="54565A"/>
                <w:sz w:val="20"/>
                <w:szCs w:val="20"/>
              </w:rPr>
              <w:t xml:space="preserve">MCG's data engineering team built 23 Gold tables last year. By December, 14 had no documentation, 6 had no owner, and the business didn't know 9 of them existed. Meanwhile, three different teams independently built their own 'customer delivery' datasets — all slightly different, all 'correct.' Data Products turn undiscoverable assets into governed, SLA-backed products with clear ownership.</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54565A"/>
          <w:sz w:val="20"/>
          <w:szCs w:val="20"/>
        </w:rPr>
        <w:t xml:space="preserve">"How does your organization currently discover and access analytical datasets — is there a catalog, or is it tribal knowledge?"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6580" w:sz="1"/>
              <w:left w:val="single" w:color="006580" w:sz="6"/>
              <w:bottom w:val="single" w:color="006580" w:sz="1"/>
              <w:right w:val="none"/>
            </w:tcBorders>
            <w:shd w:color="E0F2F5" w:val="solid"/>
            <w:tcMar>
              <w:top w:type="dxa" w:w="40"/>
              <w:left w:type="dxa" w:w="120"/>
              <w:bottom w:type="dxa" w:w="40"/>
              <w:right w:type="dxa" w:w="120"/>
            </w:tcMar>
          </w:tcPr>
          <w:p>
            <w:pPr>
              <w:spacing w:after="30"/>
            </w:pPr>
            <w:r>
              <w:rPr>
                <w:rFonts w:ascii="Inter" w:cs="Inter" w:eastAsia="Inter" w:hAnsi="Inter"/>
                <w:b/>
                <w:bCs/>
                <w:color w:val="006580"/>
                <w:sz w:val="16"/>
                <w:szCs w:val="16"/>
              </w:rPr>
              <w:t xml:space="preserve">TELL (before showing)</w:t>
            </w:r>
          </w:p>
          <w:p>
            <w:pPr>
              <w:spacing w:after="0"/>
            </w:pPr>
            <w:r>
              <w:rPr>
                <w:rFonts w:ascii="Inter" w:cs="Inter" w:eastAsia="Inter" w:hAnsi="Inter"/>
                <w:i/>
                <w:iCs/>
                <w:color w:val="54565A"/>
                <w:sz w:val="18"/>
                <w:szCs w:val="18"/>
              </w:rPr>
              <w:t xml:space="preserve">I'm going to show you how MCG turns Gold tables into governed Data Products — with AI-generated descriptions, validation rules, Trust Scores, and API sharing. A Data Product is a contract between the data team and the business.</w:t>
            </w:r>
          </w:p>
        </w:tc>
      </w:tr>
    </w:tbl>
    <w:p>
      <w:pPr>
        <w:spacing w:after="100" w:before="200"/>
      </w:pPr>
      <w:r>
        <w:rPr>
          <w:rFonts w:ascii="Inter" w:cs="Inter" w:eastAsia="Inter" w:hAnsi="Inter"/>
          <w:b/>
          <w:bCs/>
          <w:color w:val="19416C"/>
          <w:sz w:val="22"/>
          <w:szCs w:val="22"/>
        </w:rPr>
        <w:t xml:space="preserve">Step 1: Register Data Products</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54565A"/>
          <w:sz w:val="21"/>
          <w:szCs w:val="21"/>
        </w:rPr>
        <w:t xml:space="preserve">Navigate to Data Catalog &gt; Data Products &gt; Register</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54565A"/>
          <w:sz w:val="21"/>
          <w:szCs w:val="21"/>
        </w:rPr>
        <w:t xml:space="preserve">Register "Supply Chain Health" — assign owner Henrik Jansen, tags: inventory, phantom-inventory, kpi</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54565A"/>
          <w:sz w:val="21"/>
          <w:szCs w:val="21"/>
        </w:rPr>
        <w:t xml:space="preserve">Click 'Generate Description' to auto-create AI-driven metadata from schema + sample data</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54565A"/>
          <w:sz w:val="21"/>
          <w:szCs w:val="21"/>
        </w:rPr>
        <w:t xml:space="preserve">Review AI-generated product description and column-level descriptions</w:t>
      </w:r>
    </w:p>
    <w:p>
      <w:pPr>
        <w:spacing w:after="80"/>
        <w:ind w:left="431"/>
      </w:pPr>
      <w:r>
        <w:rPr>
          <w:rFonts w:ascii="Inter" w:cs="Inter" w:eastAsia="Inter" w:hAnsi="Inter"/>
          <w:b/>
          <w:bCs/>
          <w:color w:val="006580"/>
          <w:sz w:val="21"/>
          <w:szCs w:val="21"/>
        </w:rPr>
        <w:t xml:space="preserve">5. </w:t>
      </w:r>
      <w:r>
        <w:rPr>
          <w:rFonts w:ascii="Inter" w:cs="Inter" w:eastAsia="Inter" w:hAnsi="Inter"/>
          <w:b w:val="false"/>
          <w:bCs w:val="false"/>
          <w:color w:val="54565A"/>
          <w:sz w:val="21"/>
          <w:szCs w:val="21"/>
        </w:rPr>
        <w:t xml:space="preserve">Publish descriptions for Data Marketplace discoverability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54565A"/>
                <w:sz w:val="20"/>
                <w:szCs w:val="20"/>
              </w:rPr>
              <w:t xml:space="preserve">Talking point: AI-driven descriptions save hours of manual documentation. The AI reads the actual data, understands the schema, and writes descriptions that are grounded in reality — not aspirational.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54565A"/>
                <w:sz w:val="20"/>
                <w:szCs w:val="20"/>
              </w:rPr>
              <w:t xml:space="preserve">Deployment note: the primary path is npm run deploy — it provisions both data products via the Data Products API, attaches each product's gold dataset from the catalog once the pipeline has run, and (optionally) activates the product in the marketplace. Walk the manual steps above to show the workflow interactively; the API path is what actually deploys the environment.</w:t>
            </w:r>
          </w:p>
        </w:tc>
      </w:tr>
    </w:tbl>
    <w:p>
      <w:pPr>
        <w:spacing w:after="100" w:before="200"/>
      </w:pPr>
      <w:r>
        <w:rPr>
          <w:rFonts w:ascii="Inter" w:cs="Inter" w:eastAsia="Inter" w:hAnsi="Inter"/>
          <w:b/>
          <w:bCs/>
          <w:color w:val="19416C"/>
          <w:sz w:val="22"/>
          <w:szCs w:val="22"/>
        </w:rPr>
        <w:t xml:space="preserve">Step 2: Semantic Types &amp; Validation Rules</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54565A"/>
          <w:sz w:val="21"/>
          <w:szCs w:val="21"/>
        </w:rPr>
        <w:t xml:space="preserve">Navigate to a data product &gt; Schema &gt; Review AI-detected semantic types</w:t>
      </w:r>
    </w:p>
    <w:p>
      <w:pPr>
        <w:spacing w:after="120"/>
        <w:jc w:val="left"/>
      </w:pPr>
      <w:r>
        <w:rPr>
          <w:rFonts w:ascii="Inter" w:cs="Inter" w:eastAsia="Inter" w:hAnsi="Inter"/>
          <w:b w:val="false"/>
          <w:bCs w:val="false"/>
          <w:i w:val="false"/>
          <w:iCs w:val="false"/>
          <w:color w:val="54565A"/>
          <w:sz w:val="21"/>
          <w:szCs w:val="21"/>
        </w:rPr>
        <w:t xml:space="preserve">Examples: dc_id detected as Identifier, ira_pct as Percentage, carrier as Categorical</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54565A"/>
          <w:sz w:val="21"/>
          <w:szCs w:val="21"/>
        </w:rPr>
        <w:t xml:space="preserve">Review AI-suggested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Column</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Suggested Rule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Type</w:t>
            </w:r>
          </w:p>
        </w:tc>
      </w:tr>
      <w:tr>
        <w:tc>
          <w:tcPr>
            <w:shd w:color="F6F7F8" w:val="solid"/>
            <w:tcMar>
              <w:top w:type="dxa" w:w="30"/>
              <w:left w:type="dxa" w:w="80"/>
              <w:bottom w:type="dxa" w:w="30"/>
              <w:right w:type="dxa" w:w="80"/>
            </w:tcMar>
          </w:tcPr>
          <w:p>
            <w:pPr>
              <w:spacing w:after="0"/>
            </w:pPr>
            <w:r>
              <w:rPr>
                <w:rFonts w:ascii="Inter" w:cs="Inter" w:eastAsia="Inter" w:hAnsi="Inter"/>
                <w:color w:val="54565A"/>
                <w:sz w:val="19"/>
                <w:szCs w:val="19"/>
              </w:rPr>
              <w:t xml:space="preserve">ira_pct</w:t>
            </w:r>
          </w:p>
        </w:tc>
        <w:tc>
          <w:tcPr>
            <w:shd w:color="F6F7F8" w:val="solid"/>
            <w:tcMar>
              <w:top w:type="dxa" w:w="30"/>
              <w:left w:type="dxa" w:w="80"/>
              <w:bottom w:type="dxa" w:w="30"/>
              <w:right w:type="dxa" w:w="80"/>
            </w:tcMar>
          </w:tcPr>
          <w:p>
            <w:pPr>
              <w:spacing w:after="0"/>
            </w:pPr>
            <w:r>
              <w:rPr>
                <w:rFonts w:ascii="Inter" w:cs="Inter" w:eastAsia="Inter" w:hAnsi="Inter"/>
                <w:color w:val="54565A"/>
                <w:sz w:val="19"/>
                <w:szCs w:val="19"/>
              </w:rPr>
              <w:t xml:space="preserve">Value between 0.0 and 1.0</w:t>
            </w:r>
          </w:p>
        </w:tc>
        <w:tc>
          <w:tcPr>
            <w:shd w:color="F6F7F8" w:val="solid"/>
            <w:tcMar>
              <w:top w:type="dxa" w:w="30"/>
              <w:left w:type="dxa" w:w="80"/>
              <w:bottom w:type="dxa" w:w="30"/>
              <w:right w:type="dxa" w:w="80"/>
            </w:tcMar>
          </w:tcPr>
          <w:p>
            <w:pPr>
              <w:spacing w:after="0"/>
            </w:pPr>
            <w:r>
              <w:rPr>
                <w:rFonts w:ascii="Inter" w:cs="Inter" w:eastAsia="Inter" w:hAnsi="Inter"/>
                <w:color w:val="54565A"/>
                <w:sz w:val="19"/>
                <w:szCs w:val="19"/>
              </w:rPr>
              <w:t xml:space="preserve">Range constraint</w:t>
            </w:r>
          </w:p>
        </w:tc>
      </w:tr>
      <w:tr>
        <w:tc>
          <w:tcPr>
            <w:tcMar>
              <w:top w:type="dxa" w:w="30"/>
              <w:left w:type="dxa" w:w="80"/>
              <w:bottom w:type="dxa" w:w="30"/>
              <w:right w:type="dxa" w:w="80"/>
            </w:tcMar>
          </w:tcPr>
          <w:p>
            <w:pPr>
              <w:spacing w:after="0"/>
            </w:pPr>
            <w:r>
              <w:rPr>
                <w:rFonts w:ascii="Inter" w:cs="Inter" w:eastAsia="Inter" w:hAnsi="Inter"/>
                <w:color w:val="54565A"/>
                <w:sz w:val="19"/>
                <w:szCs w:val="19"/>
              </w:rPr>
              <w:t xml:space="preserve">dc_id</w:t>
            </w:r>
          </w:p>
        </w:tc>
        <w:tc>
          <w:tcPr>
            <w:tcMar>
              <w:top w:type="dxa" w:w="30"/>
              <w:left w:type="dxa" w:w="80"/>
              <w:bottom w:type="dxa" w:w="30"/>
              <w:right w:type="dxa" w:w="80"/>
            </w:tcMar>
          </w:tcPr>
          <w:p>
            <w:pPr>
              <w:spacing w:after="0"/>
            </w:pPr>
            <w:r>
              <w:rPr>
                <w:rFonts w:ascii="Inter" w:cs="Inter" w:eastAsia="Inter" w:hAnsi="Inter"/>
                <w:color w:val="54565A"/>
                <w:sz w:val="19"/>
                <w:szCs w:val="19"/>
              </w:rPr>
              <w:t xml:space="preserve">Matches pattern DC-[A-Z]{3}-\d{2}</w:t>
            </w:r>
          </w:p>
        </w:tc>
        <w:tc>
          <w:tcPr>
            <w:tcMar>
              <w:top w:type="dxa" w:w="30"/>
              <w:left w:type="dxa" w:w="80"/>
              <w:bottom w:type="dxa" w:w="30"/>
              <w:right w:type="dxa" w:w="80"/>
            </w:tcMar>
          </w:tcPr>
          <w:p>
            <w:pPr>
              <w:spacing w:after="0"/>
            </w:pPr>
            <w:r>
              <w:rPr>
                <w:rFonts w:ascii="Inter" w:cs="Inter" w:eastAsia="Inter" w:hAnsi="Inter"/>
                <w:color w:val="54565A"/>
                <w:sz w:val="19"/>
                <w:szCs w:val="19"/>
              </w:rPr>
              <w:t xml:space="preserve">Pattern match</w:t>
            </w:r>
          </w:p>
        </w:tc>
      </w:tr>
      <w:tr>
        <w:tc>
          <w:tcPr>
            <w:shd w:color="F6F7F8" w:val="solid"/>
            <w:tcMar>
              <w:top w:type="dxa" w:w="30"/>
              <w:left w:type="dxa" w:w="80"/>
              <w:bottom w:type="dxa" w:w="30"/>
              <w:right w:type="dxa" w:w="80"/>
            </w:tcMar>
          </w:tcPr>
          <w:p>
            <w:pPr>
              <w:spacing w:after="0"/>
            </w:pPr>
            <w:r>
              <w:rPr>
                <w:rFonts w:ascii="Inter" w:cs="Inter" w:eastAsia="Inter" w:hAnsi="Inter"/>
                <w:color w:val="54565A"/>
                <w:sz w:val="19"/>
                <w:szCs w:val="19"/>
              </w:rPr>
              <w:t xml:space="preserve">pipeline_status</w:t>
            </w:r>
          </w:p>
        </w:tc>
        <w:tc>
          <w:tcPr>
            <w:shd w:color="F6F7F8" w:val="solid"/>
            <w:tcMar>
              <w:top w:type="dxa" w:w="30"/>
              <w:left w:type="dxa" w:w="80"/>
              <w:bottom w:type="dxa" w:w="30"/>
              <w:right w:type="dxa" w:w="80"/>
            </w:tcMar>
          </w:tcPr>
          <w:p>
            <w:pPr>
              <w:spacing w:after="0"/>
            </w:pPr>
            <w:r>
              <w:rPr>
                <w:rFonts w:ascii="Inter" w:cs="Inter" w:eastAsia="Inter" w:hAnsi="Inter"/>
                <w:color w:val="54565A"/>
                <w:sz w:val="19"/>
                <w:szCs w:val="19"/>
              </w:rPr>
              <w:t xml:space="preserve">One of: HEALTHY, DEGRADED, FAILED</w:t>
            </w:r>
          </w:p>
        </w:tc>
        <w:tc>
          <w:tcPr>
            <w:shd w:color="F6F7F8" w:val="solid"/>
            <w:tcMar>
              <w:top w:type="dxa" w:w="30"/>
              <w:left w:type="dxa" w:w="80"/>
              <w:bottom w:type="dxa" w:w="30"/>
              <w:right w:type="dxa" w:w="80"/>
            </w:tcMar>
          </w:tcPr>
          <w:p>
            <w:pPr>
              <w:spacing w:after="0"/>
            </w:pPr>
            <w:r>
              <w:rPr>
                <w:rFonts w:ascii="Inter" w:cs="Inter" w:eastAsia="Inter" w:hAnsi="Inter"/>
                <w:color w:val="54565A"/>
                <w:sz w:val="19"/>
                <w:szCs w:val="19"/>
              </w:rPr>
              <w:t xml:space="preserve">Enum constraint</w:t>
            </w:r>
          </w:p>
        </w:tc>
      </w:tr>
      <w:tr>
        <w:tc>
          <w:tcPr>
            <w:tcMar>
              <w:top w:type="dxa" w:w="30"/>
              <w:left w:type="dxa" w:w="80"/>
              <w:bottom w:type="dxa" w:w="30"/>
              <w:right w:type="dxa" w:w="80"/>
            </w:tcMar>
          </w:tcPr>
          <w:p>
            <w:pPr>
              <w:spacing w:after="0"/>
            </w:pPr>
            <w:r>
              <w:rPr>
                <w:rFonts w:ascii="Inter" w:cs="Inter" w:eastAsia="Inter" w:hAnsi="Inter"/>
                <w:color w:val="54565A"/>
                <w:sz w:val="19"/>
                <w:szCs w:val="19"/>
              </w:rPr>
              <w:t xml:space="preserve">lot_number</w:t>
            </w:r>
          </w:p>
        </w:tc>
        <w:tc>
          <w:tcPr>
            <w:tcMar>
              <w:top w:type="dxa" w:w="30"/>
              <w:left w:type="dxa" w:w="80"/>
              <w:bottom w:type="dxa" w:w="30"/>
              <w:right w:type="dxa" w:w="80"/>
            </w:tcMar>
          </w:tcPr>
          <w:p>
            <w:pPr>
              <w:spacing w:after="0"/>
            </w:pPr>
            <w:r>
              <w:rPr>
                <w:rFonts w:ascii="Inter" w:cs="Inter" w:eastAsia="Inter" w:hAnsi="Inter"/>
                <w:color w:val="54565A"/>
                <w:sz w:val="19"/>
                <w:szCs w:val="19"/>
              </w:rPr>
              <w:t xml:space="preserve">NOT NULL when perishable = TRUE</w:t>
            </w:r>
          </w:p>
        </w:tc>
        <w:tc>
          <w:tcPr>
            <w:tcMar>
              <w:top w:type="dxa" w:w="30"/>
              <w:left w:type="dxa" w:w="80"/>
              <w:bottom w:type="dxa" w:w="30"/>
              <w:right w:type="dxa" w:w="80"/>
            </w:tcMar>
          </w:tcPr>
          <w:p>
            <w:pPr>
              <w:spacing w:after="0"/>
            </w:pPr>
            <w:r>
              <w:rPr>
                <w:rFonts w:ascii="Inter" w:cs="Inter" w:eastAsia="Inter" w:hAnsi="Inter"/>
                <w:color w:val="54565A"/>
                <w:sz w:val="19"/>
                <w:szCs w:val="19"/>
              </w:rPr>
              <w:t xml:space="preserve">Conditional completeness</w:t>
            </w:r>
          </w:p>
        </w:tc>
      </w:tr>
    </w:tbl>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54565A"/>
          <w:sz w:val="21"/>
          <w:szCs w:val="21"/>
        </w:rPr>
        <w:t xml:space="preserve">Accept or modify rules — violations automatically route to Stewardship campaigns</w:t>
      </w:r>
    </w:p>
    <w:p>
      <w:pPr>
        <w:spacing w:after="100" w:before="200"/>
      </w:pPr>
      <w:r>
        <w:rPr>
          <w:rFonts w:ascii="Inter" w:cs="Inter" w:eastAsia="Inter" w:hAnsi="Inter"/>
          <w:b/>
          <w:bCs/>
          <w:color w:val="19416C"/>
          <w:sz w:val="22"/>
          <w:szCs w:val="22"/>
        </w:rPr>
        <w:t xml:space="preserve">Step 3: API Sharing</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54565A"/>
          <w:sz w:val="21"/>
          <w:szCs w:val="21"/>
        </w:rPr>
        <w:t xml:space="preserve">Enable API sharing on Supply Chain Health, Last Mile Performance</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54565A"/>
          <w:sz w:val="21"/>
          <w:szCs w:val="21"/>
        </w:rPr>
        <w:t xml:space="preserve">Show the API endpoint URL for each product</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54565A"/>
          <w:sz w:val="21"/>
          <w:szCs w:val="21"/>
        </w:rPr>
        <w:t xml:space="preserve">Test with a curl command or Postman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54565A"/>
                <w:sz w:val="20"/>
                <w:szCs w:val="20"/>
              </w:rPr>
              <w:t xml:space="preserve">Talking point: API sharing means these data products aren't locked in Qlik — they feed Discovery Agent, MCP Server, external dashboards, and partner portals. Data products become a service, not just a table.</w:t>
            </w:r>
          </w:p>
        </w:tc>
      </w:tr>
    </w:tbl>
    <w:p>
      <w:pPr>
        <w:spacing w:after="100" w:before="200"/>
      </w:pPr>
      <w:r>
        <w:rPr>
          <w:rFonts w:ascii="Inter" w:cs="Inter" w:eastAsia="Inter" w:hAnsi="Inter"/>
          <w:b/>
          <w:bCs/>
          <w:color w:val="19416C"/>
          <w:sz w:val="22"/>
          <w:szCs w:val="22"/>
        </w:rPr>
        <w:t xml:space="preserve">Step 4: Data Marketplace</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54565A"/>
          <w:sz w:val="21"/>
          <w:szCs w:val="21"/>
        </w:rPr>
        <w:t xml:space="preserve">Open the Data Marketplace self-service portal</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54565A"/>
          <w:sz w:val="21"/>
          <w:szCs w:val="21"/>
        </w:rPr>
        <w:t xml:space="preserve">Browse data products — show AI-generated descriptions and Trust Scores</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54565A"/>
          <w:sz w:val="21"/>
          <w:szCs w:val="21"/>
        </w:rPr>
        <w:t xml:space="preserve">Search by tag: "carrier" — should find Last Mile Performance product</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54565A"/>
          <w:sz w:val="21"/>
          <w:szCs w:val="21"/>
        </w:rPr>
        <w:t xml:space="preserve">Demonstrate access request workflow for a business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9845" w:sz="1"/>
              <w:left w:val="single" w:color="009845" w:sz="6"/>
              <w:bottom w:val="single" w:color="009845" w:sz="1"/>
              <w:right w:val="none"/>
            </w:tcBorders>
            <w:shd w:color="E0F5EA" w:val="solid"/>
            <w:tcMar>
              <w:top w:type="dxa" w:w="40"/>
              <w:left w:type="dxa" w:w="120"/>
              <w:bottom w:type="dxa" w:w="40"/>
              <w:right w:type="dxa" w:w="120"/>
            </w:tcMar>
          </w:tcPr>
          <w:p>
            <w:pPr>
              <w:spacing w:after="30"/>
            </w:pPr>
            <w:r>
              <w:rPr>
                <w:rFonts w:ascii="Inter" w:cs="Inter" w:eastAsia="Inter" w:hAnsi="Inter"/>
                <w:b/>
                <w:bCs/>
                <w:color w:val="009845"/>
                <w:sz w:val="16"/>
                <w:szCs w:val="16"/>
              </w:rPr>
              <w:t xml:space="preserve">TELL (after showing)</w:t>
            </w:r>
          </w:p>
          <w:p>
            <w:pPr>
              <w:spacing w:after="0"/>
            </w:pPr>
            <w:r>
              <w:rPr>
                <w:rFonts w:ascii="Inter" w:cs="Inter" w:eastAsia="Inter" w:hAnsi="Inter"/>
                <w:i/>
                <w:iCs/>
                <w:color w:val="54565A"/>
                <w:sz w:val="18"/>
                <w:szCs w:val="18"/>
              </w:rPr>
              <w:t xml:space="preserve">What you saw is data as a product: owned, documented, quality-scored, and accessible via API. No more shadow datasets, no more tribal knowledge, no more 'which version of the customer table is right?'</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54565A"/>
          <w:sz w:val="20"/>
          <w:szCs w:val="20"/>
        </w:rPr>
        <w:t xml:space="preserve">"If you could expose any of your internal datasets as a governed API tomorrow, which one would create the most value?"</w:t>
      </w:r>
    </w:p>
    <w:p>
      <w:pPr>
        <w:spacing w:after="100" w:before="60"/>
      </w:pPr>
      <w:r>
        <w:rPr>
          <w:rFonts w:ascii="Inter" w:cs="Inter" w:eastAsia="Inter" w:hAnsi="Inter"/>
          <w:color w:val="54565A"/>
          <w:sz w:val="20"/>
          <w:szCs w:val="20"/>
        </w:rPr>
        <w:t xml:space="preserve">Publish governed data products with AI-generated documentation</w:t>
      </w:r>
      <w:r>
        <w:rPr>
          <w:rFonts w:ascii="Inter" w:cs="Inter" w:eastAsia="Inter" w:hAnsi="Inter"/>
          <w:b/>
          <w:bCs/>
          <w:color w:val="009845"/>
          <w:sz w:val="20"/>
          <w:szCs w:val="20"/>
        </w:rPr>
        <w:t xml:space="preserve">  →  so you can  </w:t>
      </w:r>
      <w:r>
        <w:rPr>
          <w:rFonts w:ascii="Inter" w:cs="Inter" w:eastAsia="Inter" w:hAnsi="Inter"/>
          <w:color w:val="54565A"/>
          <w:sz w:val="20"/>
          <w:szCs w:val="20"/>
        </w:rPr>
        <w:t xml:space="preserve">eliminate shadow datasets and ensure one version of truth</w:t>
      </w:r>
      <w:r>
        <w:rPr>
          <w:rFonts w:ascii="Inter" w:cs="Inter" w:eastAsia="Inter" w:hAnsi="Inter"/>
          <w:b/>
          <w:bCs/>
          <w:color w:val="009845"/>
          <w:sz w:val="20"/>
          <w:szCs w:val="20"/>
        </w:rPr>
        <w:t xml:space="preserve">  →  so you can  </w:t>
      </w:r>
      <w:r>
        <w:rPr>
          <w:rFonts w:ascii="Inter" w:cs="Inter" w:eastAsia="Inter" w:hAnsi="Inter"/>
          <w:color w:val="54565A"/>
          <w:sz w:val="20"/>
          <w:szCs w:val="20"/>
        </w:rPr>
        <w:t xml:space="preserve">let the business self-serve trusted data without filing tickets</w:t>
      </w:r>
    </w:p>
    <w:p>
      <w:pPr>
        <w:spacing w:after="120" w:before="280"/>
      </w:pPr>
      <w:r>
        <w:rPr>
          <w:rFonts w:ascii="Inter" w:cs="Inter" w:eastAsia="Inter" w:hAnsi="Inter"/>
          <w:b/>
          <w:bCs/>
          <w:color w:val="006580"/>
          <w:sz w:val="26"/>
          <w:szCs w:val="26"/>
        </w:rPr>
        <w:t xml:space="preserve">Talking Points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Data Products turn tables into governed, discoverable business assets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AI descriptions eliminate the documentation bottleneck — metadata is always fresh</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Validation rules enforce quality automatically — violations create Stewardship tasks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API sharing enables a data mesh architecture — producers publish, consumers subscribe</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The Marketplace is self-service: business users find and request data without filing IT tickets</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845" w:sz="4" w:space="4"/>
      </w:pBdr>
      <w:spacing w:before="0"/>
    </w:pPr>
    <w:r>
      <w:rPr>
        <w:sz w:val="4"/>
        <w:szCs w:val="4"/>
      </w:rPr>
      <w:t xml:space="preserve"/>
    </w:r>
  </w:p>
  <w:p>
    <w:pPr>
      <w:spacing w:after="0" w:before="0"/>
      <w:jc w:val="center"/>
    </w:pPr>
    <w:r>
      <w:rPr>
        <w:rFonts w:ascii="Inter" w:cs="Inter" w:eastAsia="Inter" w:hAnsi="Inter"/>
        <w:color w:val="54565A"/>
        <w:sz w:val="14"/>
        <w:szCs w:val="14"/>
      </w:rPr>
      <w:t xml:space="preserve">Qlik</w:t>
    </w:r>
  </w:p>
  <w:p>
    <w:pPr>
      <w:spacing w:after="0" w:before="40"/>
      <w:jc w:val="center"/>
    </w:pPr>
    <w:r>
      <w:rPr>
        <w:rFonts w:ascii="Inter" w:cs="Inter" w:eastAsia="Inter" w:hAnsi="Inter"/>
        <w:b/>
        <w:bCs/>
        <w:color w:val="009845"/>
        <w:sz w:val="13"/>
        <w:szCs w:val="13"/>
      </w:rPr>
      <w:t xml:space="preserve">CONFIDENTIAL — </w:t>
    </w:r>
    <w:r>
      <w:rPr>
        <w:rFonts w:ascii="Inter" w:cs="Inter" w:eastAsia="Inter" w:hAnsi="Inter"/>
        <w:color w:val="54565A"/>
        <w:sz w:val="13"/>
        <w:szCs w:val="13"/>
      </w:rPr>
      <w:t xml:space="preserve">Page </w:t>
    </w:r>
    <w:r>
      <w:rPr>
        <w:rFonts w:ascii="Inter" w:cs="Inter" w:eastAsia="Inter" w:hAnsi="Inter"/>
        <w:color w:val="54565A"/>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drawing>
        <wp:inline distT="0" distB="0" distL="0" distR="0">
          <wp:extent cx="11239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628650"/>
                  </a:xfrm>
                  <a:prstGeom prst="rect">
                    <a:avLst/>
                  </a:prstGeom>
                </pic:spPr>
              </pic:pic>
            </a:graphicData>
          </a:graphic>
        </wp:inline>
      </w:drawing>
    </w:r>
  </w:p>
  <w:p>
    <w:pPr>
      <w:pBdr>
        <w:bottom w:val="single" w:color="009845" w:sz="8" w:space="4"/>
      </w:pBdr>
      <w:spacing w:after="0"/>
    </w:pPr>
    <w:r>
      <w:rPr>
        <w:sz w:val="4"/>
        <w:szCs w:val="4"/>
      </w:rPr>
      <w:t xml:space="preserve"/>
    </w:r>
  </w:p>
  <w:p>
    <w:pPr>
      <w:spacing w:after="0" w:before="60"/>
      <w:jc w:val="right"/>
    </w:pPr>
    <w:r>
      <w:rPr>
        <w:rFonts w:ascii="Inter" w:cs="Inter" w:eastAsia="Inter" w:hAnsi="Inter"/>
        <w:b/>
        <w:bCs/>
        <w:caps/>
        <w:color w:val="009845"/>
        <w:sz w:val="18"/>
        <w:szCs w:val="18"/>
      </w:rPr>
      <w:t xml:space="preserve">Project Qlarity Demo Walkthrough — Module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54565A"/>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Inter" w:cs="Inter" w:eastAsia="Inter" w:hAnsi="Inter"/>
      <w:b/>
      <w:bCs/>
      <w:color w:val="19416C"/>
      <w:sz w:val="32"/>
      <w:szCs w:val="32"/>
    </w:rPr>
  </w:style>
  <w:style w:type="paragraph" w:styleId="Heading2">
    <w:name w:val="Heading 2"/>
    <w:basedOn w:val="Normal"/>
    <w:next w:val="Normal"/>
    <w:qFormat/>
    <w:pPr>
      <w:spacing w:after="160" w:before="300"/>
    </w:pPr>
    <w:rPr>
      <w:rFonts w:ascii="Inter" w:cs="Inter" w:eastAsia="Inter" w:hAnsi="Inter"/>
      <w:b/>
      <w:bCs/>
      <w:color w:val="006580"/>
      <w:sz w:val="26"/>
      <w:szCs w:val="26"/>
    </w:rPr>
  </w:style>
  <w:style w:type="paragraph" w:styleId="Heading3">
    <w:name w:val="Heading 3"/>
    <w:basedOn w:val="Normal"/>
    <w:next w:val="Normal"/>
    <w:qFormat/>
    <w:pPr>
      <w:spacing w:after="120" w:before="240"/>
    </w:pPr>
    <w:rPr>
      <w:rFonts w:ascii="Inter" w:cs="Inter" w:eastAsia="Inter" w:hAnsi="Inter"/>
      <w:b/>
      <w:bCs/>
      <w:color w:val="19416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7640a0f90dc3934f67c3c21f9f3a340ffef73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2026-07-14T19:22:12.574Z</dcterms:created>
  <dcterms:modified xsi:type="dcterms:W3CDTF">2026-07-14T19:22:12.574Z</dcterms:modified>
</cp:coreProperties>
</file>

<file path=docProps/custom.xml><?xml version="1.0" encoding="utf-8"?>
<Properties xmlns="http://schemas.openxmlformats.org/officeDocument/2006/custom-properties" xmlns:vt="http://schemas.openxmlformats.org/officeDocument/2006/docPropsVTypes"/>
</file>