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MCG-POL-015: Enterprise Data Quality Standards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Policy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MCG-POL-015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Priya Ramanathan, Chief Data Officer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Approved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Marcus Chen, CIO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All Business Units</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policy establishes enterprise-wide data quality standards for Meridian Commerce Group. MCG's Q3 2025 data health assessment identified $127M in annual losses attributable to data quality issues across seven identified problem areas ('The Seven Data Quality Nightmares'). This policy provides the governance framework to measure, monitor, and improve data quality.</w:t>
      </w:r>
    </w:p>
    <w:p>
      <w:pPr>
        <w:pBdr>
          <w:bottom w:val="single" w:color="0D7C8F" w:sz="2" w:space="4"/>
        </w:pBdr>
        <w:spacing w:after="160" w:before="360"/>
      </w:pPr>
      <w:r>
        <w:rPr>
          <w:rFonts w:ascii="Calibri" w:cs="Calibri" w:eastAsia="Calibri" w:hAnsi="Calibri"/>
          <w:b/>
          <w:bCs/>
          <w:color w:val="1B2A4A"/>
          <w:sz w:val="30"/>
          <w:szCs w:val="30"/>
        </w:rPr>
        <w:t xml:space="preserve">2. Six Dimensions of Data Quality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Dimension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Gap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Required fields are populated with non-null values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of mandatory fields populated across CDEs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Accuracy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Values match real-world truth (verified by physical audit or external source)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Sample audit against physical counts, address validation services, supplier registers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Timeliness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 available within the required time window after the real-world event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Latency between real event and system record; pipeline freshness checks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Consistency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Same fact is represented the same way across all systems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Cross-system matching rate for CDEs (e.g., inventory in WMS vs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Uniqueness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unintended duplicate records for the same real-world entity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Duplicate detection rate using fuzzy matching (supplier names, customer addresses)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Validity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Values conform to defined business rules and acceptable ranges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rule pass rate (e.g., temperatures within bounds, quantities non-negative)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r>
    </w:tbl>
    <w:p>
      <w:pPr>
        <w:pBdr>
          <w:bottom w:val="single" w:color="0D7C8F" w:sz="2" w:space="4"/>
        </w:pBdr>
        <w:spacing w:after="160" w:before="360"/>
      </w:pPr>
      <w:r>
        <w:rPr>
          <w:rFonts w:ascii="Calibri" w:cs="Calibri" w:eastAsia="Calibri" w:hAnsi="Calibri"/>
          <w:b/>
          <w:bCs/>
          <w:color w:val="1B2A4A"/>
          <w:sz w:val="30"/>
          <w:szCs w:val="30"/>
        </w:rPr>
        <w:t xml:space="preserve">3. Critical Data Elements (CDEs)</w:t>
      </w:r>
    </w:p>
    <w:p>
      <w:pPr>
        <w:spacing w:after="120"/>
        <w:jc w:val="left"/>
      </w:pPr>
      <w:r>
        <w:rPr>
          <w:rFonts w:ascii="Calibri" w:cs="Calibri" w:eastAsia="Calibri" w:hAnsi="Calibri"/>
          <w:b w:val="false"/>
          <w:bCs w:val="false"/>
          <w:i w:val="false"/>
          <w:iCs w:val="false"/>
          <w:color w:val="1F2937"/>
          <w:sz w:val="21"/>
          <w:szCs w:val="21"/>
        </w:rPr>
        <w:t xml:space="preserve">The following CDEs are prioritized for quality improvement based on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Score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Nightmare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Impact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Domain Owner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position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Phantom Inventory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tracking completeness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 Carrier Black Hole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$14.8M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health/freshness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weight/dimensions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Head of Procurement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Timestamp timezone consistency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Timestamp Babel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Lot-level traceability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 Compliance Gap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CCO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Address deliverability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Address Catastrophe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Head of E-Commerce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identity (dedup)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above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Head of Procurement</w:t>
            </w:r>
          </w:p>
        </w:tc>
      </w:tr>
    </w:tbl>
    <w:p>
      <w:pPr>
        <w:spacing w:after="80"/>
      </w:pPr>
      <w:r>
        <w:rPr>
          <w:rFonts w:ascii="Calibri" w:cs="Calibri" w:eastAsia="Calibri" w:hAnsi="Calibri"/>
          <w:b/>
          <w:bCs/>
          <w:color w:val="1B2A4A"/>
          <w:sz w:val="21"/>
          <w:szCs w:val="21"/>
        </w:rPr>
        <w:t xml:space="preserve">Total Annual Impact from Data Quality Issues: </w:t>
      </w:r>
      <w:r>
        <w:rPr>
          <w:rFonts w:ascii="Calibri" w:cs="Calibri" w:eastAsia="Calibri" w:hAnsi="Calibri"/>
          <w:color w:val="1F2937"/>
          <w:sz w:val="21"/>
          <w:szCs w:val="21"/>
        </w:rPr>
        <w:t xml:space="preserve">$127M (conservative, directly attributable costs only)</w:t>
      </w:r>
    </w:p>
    <w:p>
      <w:pPr>
        <w:pBdr>
          <w:bottom w:val="single" w:color="0D7C8F" w:sz="2" w:space="4"/>
        </w:pBdr>
        <w:spacing w:after="160" w:before="360"/>
      </w:pPr>
      <w:r>
        <w:rPr>
          <w:rFonts w:ascii="Calibri" w:cs="Calibri" w:eastAsia="Calibri" w:hAnsi="Calibri"/>
          <w:b/>
          <w:bCs/>
          <w:color w:val="1B2A4A"/>
          <w:sz w:val="30"/>
          <w:szCs w:val="30"/>
        </w:rPr>
        <w:t xml:space="preserve">4. Current State: No Enterprise Monitoring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MCG currently has NO automated enterprise-wide data quality monitoring. Data quality is measured through periodic manual assessments, cycle count results, and incident-driven investigations. The Rotterdam pipeline failure (INC-2025-04872) went undetected for 4.3 days because no system monitors data freshness or pipeline health.</w:t>
            </w:r>
          </w:p>
        </w:tc>
      </w:tr>
    </w:tbl>
    <w:p>
      <w:pPr>
        <w:spacing w:after="120"/>
        <w:jc w:val="left"/>
      </w:pPr>
      <w:r>
        <w:rPr>
          <w:rFonts w:ascii="Calibri" w:cs="Calibri" w:eastAsia="Calibri" w:hAnsi="Calibri"/>
          <w:b w:val="false"/>
          <w:bCs w:val="false"/>
          <w:i w:val="false"/>
          <w:iCs w:val="false"/>
          <w:color w:val="1F2937"/>
          <w:sz w:val="21"/>
          <w:szCs w:val="21"/>
        </w:rPr>
        <w:t xml:space="preserve">Planned state under Project Qlarity Phase 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Automated data profiling on all source systems at ingestion (Qlik Talend Cloud)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Real-time data quality dashboards with Trust Score trending (Qlik Analytics)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Automated alerting when quality thresholds are breached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Data stewardship workflows for issue resolution with SLA tracking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Trust Score for AI to validate data suitability for ML/AI models</w:t>
      </w:r>
    </w:p>
    <w:p>
      <w:pPr>
        <w:pBdr>
          <w:bottom w:val="single" w:color="0D7C8F" w:sz="2" w:space="4"/>
        </w:pBdr>
        <w:spacing w:after="160" w:before="360"/>
      </w:pPr>
      <w:r>
        <w:rPr>
          <w:rFonts w:ascii="Calibri" w:cs="Calibri" w:eastAsia="Calibri" w:hAnsi="Calibri"/>
          <w:b/>
          <w:bCs/>
          <w:color w:val="1B2A4A"/>
          <w:sz w:val="30"/>
          <w:szCs w:val="30"/>
        </w:rPr>
        <w:t xml:space="preserve">5. Accountability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Responsibility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Reporting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Chief Data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data quality strategy; policy ownership; Project Qlarity sponsorship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 to CEO and Board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Data Domain Owners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Quality targets and improvement plans for their domain CDEs; root cause resolution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to CDO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Stewards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Day-to-day quality issue investigation and resolution; stewardship task completion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 to Domain Owner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Operations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monitoring and alerting; infrastructure for data quality tools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dashboards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Unit Heads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Reporting data quality issues; adopting data quality processes; funding remediation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 to CDO</w:t>
            </w:r>
          </w:p>
        </w:tc>
      </w:tr>
    </w:tbl>
    <w:p>
      <w:pPr>
        <w:pBdr>
          <w:bottom w:val="single" w:color="0D7C8F" w:sz="2" w:space="4"/>
        </w:pBdr>
        <w:spacing w:after="160" w:before="360"/>
      </w:pPr>
      <w:r>
        <w:rPr>
          <w:rFonts w:ascii="Calibri" w:cs="Calibri" w:eastAsia="Calibri" w:hAnsi="Calibri"/>
          <w:b/>
          <w:bCs/>
          <w:color w:val="1B2A4A"/>
          <w:sz w:val="30"/>
          <w:szCs w:val="30"/>
        </w:rPr>
        <w:t xml:space="preserve">6. Data Quality Incident Classification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Response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causing regulatory risk, financial loss &gt; $100K, or customer safety impact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failure creating phantom inventory; lot number missing for food recall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escalation to CDO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affecting operational decisions or causing financial loss $10K-$100K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tracking data gap affecting 1000+ shipments; address quality causing delivery failures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Resolution within 48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with limited operational impact or financial loss &lt; $10K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Duplicate supplier record; inconsistent product category mapping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Resolution within 5 business days</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2025-01-15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 following Q3 2025 data health assessment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2025-05-01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CDE table with financial impact; incident classification; accountability framework</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Priya Ramanathan</w:t>
      </w:r>
    </w:p>
    <w:p>
      <w:pPr>
        <w:spacing w:after="0"/>
      </w:pPr>
      <w:r>
        <w:rPr>
          <w:rFonts w:ascii="Calibri" w:cs="Calibri" w:eastAsia="Calibri" w:hAnsi="Calibri"/>
          <w:color w:val="6B7280"/>
          <w:sz w:val="19"/>
          <w:szCs w:val="19"/>
        </w:rPr>
        <w:t xml:space="preserve">Chief Data Officer</w:t>
      </w:r>
    </w:p>
    <w:p>
      <w:pPr>
        <w:spacing w:after="0"/>
      </w:pPr>
      <w:r>
        <w:rPr>
          <w:rFonts w:ascii="Calibri" w:cs="Calibri" w:eastAsia="Calibri" w:hAnsi="Calibri"/>
          <w:i/>
          <w:iCs/>
          <w:color w:val="6B7280"/>
          <w:sz w:val="19"/>
          <w:szCs w:val="19"/>
        </w:rPr>
        <w:t xml:space="preserve">Data &amp; Analytics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CORPORATE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2026-07-14T19:22:09.928Z</dcterms:created>
  <dcterms:modified xsi:type="dcterms:W3CDTF">2026-07-14T19:22:09.928Z</dcterms:modified>
</cp:coreProperties>
</file>

<file path=docProps/custom.xml><?xml version="1.0" encoding="utf-8"?>
<Properties xmlns="http://schemas.openxmlformats.org/officeDocument/2006/custom-properties" xmlns:vt="http://schemas.openxmlformats.org/officeDocument/2006/docPropsVTypes"/>
</file>