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Open Lakehouse, Data Integration pipelines, Transformation Flows, Table Recipes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454659"/>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454659"/>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silver.timestamps_audit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All timestamps to UTC with source tracking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silver.customers_deduped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silver.orders_enriched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(7 Tables)</w:t>
      </w:r>
    </w:p>
    <w:p>
      <w:pPr>
        <w:spacing w:after="120"/>
        <w:jc w:val="left"/>
      </w:pPr>
      <w:r>
        <w:rPr>
          <w:rFonts w:ascii="Inter" w:cs="Inter" w:eastAsia="Inter" w:hAnsi="Inter"/>
          <w:b w:val="false"/>
          <w:bCs w:val="false"/>
          <w:i w:val="false"/>
          <w:iCs w:val="false"/>
          <w:color w:val="454659"/>
          <w:sz w:val="21"/>
          <w:szCs w:val="21"/>
        </w:rPr>
        <w:t xml:space="preserve">Gold tables are governed, business-ready data products with Trust Scores, SLAs, and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Sophie Muller (EU Logistics)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30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gold.cold_chain_compliance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Thomas Brennan (VP Supply Chain)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5 min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Streaming IoT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gold.product_master_360</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Thomas Berger (Product Data Mgr)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8,200 missing weights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gold.customer_delivery_experience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Lisa Park (Head of CX)</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 hour</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gold.compliance_readiness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Dr. Elena Vasquez (CCO)</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Daily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Lot capture: 85%</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gold.operational_cost_impact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CFO Office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Show before/after: bronze.sf_contacts (messy addresses) vs silver.customers_deduped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Highlight refresh schedules: real-time CDC, 5-min streaming, 15-min batch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just saw is raw data arriving from three systems, getting cleansed through 8 transformation routes that directly address MCG's 7 data nightmares, and emerging as 7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454659"/>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2026-03-05T19:24:21.769Z</dcterms:created>
  <dcterms:modified xsi:type="dcterms:W3CDTF">2026-03-05T19:24:21.769Z</dcterms:modified>
</cp:coreProperties>
</file>

<file path=docProps/custom.xml><?xml version="1.0" encoding="utf-8"?>
<Properties xmlns="http://schemas.openxmlformats.org/officeDocument/2006/custom-properties" xmlns:vt="http://schemas.openxmlformats.org/officeDocument/2006/docPropsVTypes"/>
</file>