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Recall Notice: RCL-2025-003 — Organic Butter Lettuce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Recall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RCL-2025-003</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Classification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Class II — Potential Health Risk</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Product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Organic Butter Lettuce (loose and pre-packed)</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Contaminant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Listeria monocytogenes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Supplier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Fresh Direct NL B.V. (sub-tier: Farm NL-0042, Breda)</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Affected Lots</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LOT-FD-2025-0612 through LOT-FD-2025-0618</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Affected Markets</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Netherlands, Germany, Belgium, France</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Affected Units</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12,400 units across 210 stores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Recall Initiated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14 June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Recall Completed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25 June 2025 (11 days)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Regulatory Target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24 hours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Total Financial Impact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€85,125</w:t>
            </w:r>
          </w:p>
        </w:tc>
      </w:tr>
    </w:tbl>
    <w:p>
      <w:pPr>
        <w:pBdr>
          <w:bottom w:val="single" w:color="0D7C8F" w:sz="2" w:space="4"/>
        </w:pBdr>
        <w:spacing w:after="160" w:before="360"/>
      </w:pPr>
      <w:r>
        <w:rPr>
          <w:rFonts w:ascii="Calibri" w:cs="Calibri" w:eastAsia="Calibri" w:hAnsi="Calibri"/>
          <w:b/>
          <w:bCs/>
          <w:color w:val="1B2A4A"/>
          <w:sz w:val="30"/>
          <w:szCs w:val="30"/>
        </w:rPr>
        <w:t xml:space="preserve">1. 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On 14 June 2025, MCG initiated a Class II product recall for organic butter lettuce supplied by Fresh Direct NL after routine QC testing at Rotterdam DC detected Listeria monocytogenes. The recall affected 12,400 units across 210 stores in 4 EU markets. Full traceability took 11 days — 10 days beyond the 24-hour regulatory target — because tracing required manual cross-referencing across 4 disconnected systems.</w:t>
            </w:r>
          </w:p>
        </w:tc>
      </w:tr>
    </w:tbl>
    <w:p>
      <w:pPr>
        <w:pBdr>
          <w:bottom w:val="single" w:color="0D7C8F" w:sz="2" w:space="4"/>
        </w:pBdr>
        <w:spacing w:after="160" w:before="360"/>
      </w:pPr>
      <w:r>
        <w:rPr>
          <w:rFonts w:ascii="Calibri" w:cs="Calibri" w:eastAsia="Calibri" w:hAnsi="Calibri"/>
          <w:b/>
          <w:bCs/>
          <w:color w:val="1B2A4A"/>
          <w:sz w:val="30"/>
          <w:szCs w:val="30"/>
        </w:rPr>
        <w:t xml:space="preserve">2. Detection and Initial Response</w:t>
      </w:r>
    </w:p>
    <w:p>
      <w:pPr>
        <w:spacing w:after="80"/>
      </w:pPr>
      <w:r>
        <w:rPr>
          <w:rFonts w:ascii="Calibri" w:cs="Calibri" w:eastAsia="Calibri" w:hAnsi="Calibri"/>
          <w:b/>
          <w:bCs/>
          <w:color w:val="1B2A4A"/>
          <w:sz w:val="21"/>
          <w:szCs w:val="21"/>
        </w:rPr>
        <w:t xml:space="preserve">Detection Method: </w:t>
      </w:r>
      <w:r>
        <w:rPr>
          <w:rFonts w:ascii="Calibri" w:cs="Calibri" w:eastAsia="Calibri" w:hAnsi="Calibri"/>
          <w:color w:val="1F2937"/>
          <w:sz w:val="21"/>
          <w:szCs w:val="21"/>
        </w:rPr>
        <w:t xml:space="preserve">Routine QC sampling at Rotterdam DC, Dock 12 receiving area</w:t>
      </w:r>
    </w:p>
    <w:p>
      <w:pPr>
        <w:spacing w:after="80"/>
      </w:pPr>
      <w:r>
        <w:rPr>
          <w:rFonts w:ascii="Calibri" w:cs="Calibri" w:eastAsia="Calibri" w:hAnsi="Calibri"/>
          <w:b/>
          <w:bCs/>
          <w:color w:val="1B2A4A"/>
          <w:sz w:val="21"/>
          <w:szCs w:val="21"/>
        </w:rPr>
        <w:t xml:space="preserve">Sample ID: </w:t>
      </w:r>
      <w:r>
        <w:rPr>
          <w:rFonts w:ascii="Calibri" w:cs="Calibri" w:eastAsia="Calibri" w:hAnsi="Calibri"/>
          <w:color w:val="1F2937"/>
          <w:sz w:val="21"/>
          <w:szCs w:val="21"/>
        </w:rPr>
        <w:t xml:space="preserve">QC-RTD-2025-06-14-0034</w:t>
      </w:r>
    </w:p>
    <w:p>
      <w:pPr>
        <w:spacing w:after="80"/>
      </w:pPr>
      <w:r>
        <w:rPr>
          <w:rFonts w:ascii="Calibri" w:cs="Calibri" w:eastAsia="Calibri" w:hAnsi="Calibri"/>
          <w:b/>
          <w:bCs/>
          <w:color w:val="1B2A4A"/>
          <w:sz w:val="21"/>
          <w:szCs w:val="21"/>
        </w:rPr>
        <w:t xml:space="preserve">Lab Result: </w:t>
      </w:r>
      <w:r>
        <w:rPr>
          <w:rFonts w:ascii="Calibri" w:cs="Calibri" w:eastAsia="Calibri" w:hAnsi="Calibri"/>
          <w:color w:val="1F2937"/>
          <w:sz w:val="21"/>
          <w:szCs w:val="21"/>
        </w:rPr>
        <w:t xml:space="preserve">Positive for Listeria monocytogenes (confirmed by RIVM reference lab)</w:t>
      </w:r>
    </w:p>
    <w:p>
      <w:pPr>
        <w:spacing w:after="80"/>
      </w:pPr>
      <w:r>
        <w:rPr>
          <w:rFonts w:ascii="Calibri" w:cs="Calibri" w:eastAsia="Calibri" w:hAnsi="Calibri"/>
          <w:b/>
          <w:bCs/>
          <w:color w:val="1B2A4A"/>
          <w:sz w:val="21"/>
          <w:szCs w:val="21"/>
        </w:rPr>
        <w:t xml:space="preserve">Initial Action: </w:t>
      </w:r>
      <w:r>
        <w:rPr>
          <w:rFonts w:ascii="Calibri" w:cs="Calibri" w:eastAsia="Calibri" w:hAnsi="Calibri"/>
          <w:color w:val="1F2937"/>
          <w:sz w:val="21"/>
          <w:szCs w:val="21"/>
        </w:rPr>
        <w:t xml:space="preserve">Immediate hold on all Fresh Direct NL fresh produce at Rotterdam DC</w:t>
      </w:r>
    </w:p>
    <w:p>
      <w:pPr>
        <w:spacing w:after="80"/>
      </w:pPr>
      <w:r>
        <w:rPr>
          <w:rFonts w:ascii="Calibri" w:cs="Calibri" w:eastAsia="Calibri" w:hAnsi="Calibri"/>
          <w:b/>
          <w:bCs/>
          <w:color w:val="1B2A4A"/>
          <w:sz w:val="21"/>
          <w:szCs w:val="21"/>
        </w:rPr>
        <w:t xml:space="preserve">Recall Decision: </w:t>
      </w:r>
      <w:r>
        <w:rPr>
          <w:rFonts w:ascii="Calibri" w:cs="Calibri" w:eastAsia="Calibri" w:hAnsi="Calibri"/>
          <w:color w:val="1F2937"/>
          <w:sz w:val="21"/>
          <w:szCs w:val="21"/>
        </w:rPr>
        <w:t xml:space="preserve">Made within 2 hours of lab confirmation by Dr. Elena Vasquez (CCO)</w:t>
      </w:r>
    </w:p>
    <w:p>
      <w:pPr>
        <w:spacing w:after="120"/>
        <w:jc w:val="left"/>
      </w:pPr>
      <w:r>
        <w:rPr>
          <w:rFonts w:ascii="Calibri" w:cs="Calibri" w:eastAsia="Calibri" w:hAnsi="Calibri"/>
          <w:b w:val="false"/>
          <w:bCs w:val="false"/>
          <w:i w:val="false"/>
          <w:iCs w:val="false"/>
          <w:color w:val="1F2937"/>
          <w:sz w:val="21"/>
          <w:szCs w:val="21"/>
        </w:rPr>
        <w:t xml:space="preserve">Per SOP-SC-001 (Product Recall Procedure), a recall team was assembled within 4 hours including representatives from Quality, Warehouse Ops, Logistics, IT, Legal, and Communications.</w:t>
      </w:r>
    </w:p>
    <w:p>
      <w:pPr>
        <w:pBdr>
          <w:bottom w:val="single" w:color="0D7C8F" w:sz="2" w:space="4"/>
        </w:pBdr>
        <w:spacing w:after="160" w:before="360"/>
      </w:pPr>
      <w:r>
        <w:rPr>
          <w:rFonts w:ascii="Calibri" w:cs="Calibri" w:eastAsia="Calibri" w:hAnsi="Calibri"/>
          <w:b/>
          <w:bCs/>
          <w:color w:val="1B2A4A"/>
          <w:sz w:val="30"/>
          <w:szCs w:val="30"/>
        </w:rPr>
        <w:t xml:space="preserve">3. Traceability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Event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Effort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Blocker</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Day 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Contamination detected; affected lot numbers identified in WMS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 hrs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only — no cross-system link</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Day 2-3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Cross-reference PO receipts in SAP to identify all inbound lots from Fresh Direct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 hrs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Supplier name mismatch between WMS and SAP</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Day 3-5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Trace outbound shipments via Descartes TMS to identify destination stores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hrs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TMS uses shipment IDs, not lot numbers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Day 5-8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Verify store-level receipt by lot number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 hrs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Only 32% of stores had lot-level tracking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Day 8-10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Physical shelf audits at 143 stores without lot tracking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 hrs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Required dispatching audit teams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Day 11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Full traceability confirmed — all affected product accounted for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 hrs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Final reconciliation</w:t>
            </w:r>
          </w:p>
        </w:tc>
      </w:tr>
    </w:tbl>
    <w:p>
      <w:pPr>
        <w:spacing w:after="80"/>
      </w:pPr>
      <w:r>
        <w:rPr>
          <w:rFonts w:ascii="Calibri" w:cs="Calibri" w:eastAsia="Calibri" w:hAnsi="Calibri"/>
          <w:b/>
          <w:bCs/>
          <w:color w:val="1B2A4A"/>
          <w:sz w:val="21"/>
          <w:szCs w:val="21"/>
        </w:rPr>
        <w:t xml:space="preserve">Total Effort: </w:t>
      </w:r>
      <w:r>
        <w:rPr>
          <w:rFonts w:ascii="Calibri" w:cs="Calibri" w:eastAsia="Calibri" w:hAnsi="Calibri"/>
          <w:color w:val="1F2937"/>
          <w:sz w:val="21"/>
          <w:szCs w:val="21"/>
        </w:rPr>
        <w:t xml:space="preserve">65 person-hours across 4 systems and 12 team members</w:t>
      </w:r>
    </w:p>
    <w:p>
      <w:pPr>
        <w:pBdr>
          <w:bottom w:val="single" w:color="0D7C8F" w:sz="2" w:space="4"/>
        </w:pBdr>
        <w:spacing w:after="160" w:before="360"/>
      </w:pPr>
      <w:r>
        <w:rPr>
          <w:rFonts w:ascii="Calibri" w:cs="Calibri" w:eastAsia="Calibri" w:hAnsi="Calibri"/>
          <w:b/>
          <w:bCs/>
          <w:color w:val="1B2A4A"/>
          <w:sz w:val="30"/>
          <w:szCs w:val="30"/>
        </w:rPr>
        <w:t xml:space="preserve">4. Financial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Category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Amount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Notes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Product destruction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€32,400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12,400 units at avg €2.61 per unit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Customer refunds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€8,200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614 online orders with affected product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Labor (65 person-hours)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Blended rate €185/hr (includes overtime)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Store audit travel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€4,500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Teams dispatched to 143 stores in 4 countries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Regulatory filing costs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RASFF notification + NVWA filings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Brand/PR impact (estimated)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Social media monitoring, press response, customer comms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Total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€85,125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w:r>
          </w:p>
        </w:tc>
      </w:tr>
    </w:tbl>
    <w:p>
      <w:pPr>
        <w:pBdr>
          <w:bottom w:val="single" w:color="0D7C8F" w:sz="2" w:space="4"/>
        </w:pBdr>
        <w:spacing w:after="160" w:before="360"/>
      </w:pPr>
      <w:r>
        <w:rPr>
          <w:rFonts w:ascii="Calibri" w:cs="Calibri" w:eastAsia="Calibri" w:hAnsi="Calibri"/>
          <w:b/>
          <w:bCs/>
          <w:color w:val="1B2A4A"/>
          <w:sz w:val="30"/>
          <w:szCs w:val="30"/>
        </w:rPr>
        <w:t xml:space="preserve">5. Root Cause Analysis</w:t>
      </w:r>
    </w:p>
    <w:p>
      <w:pPr>
        <w:spacing w:after="120" w:before="280"/>
      </w:pPr>
      <w:r>
        <w:rPr>
          <w:rFonts w:ascii="Calibri" w:cs="Calibri" w:eastAsia="Calibri" w:hAnsi="Calibri"/>
          <w:b/>
          <w:bCs/>
          <w:color w:val="0D7C8F"/>
          <w:sz w:val="26"/>
          <w:szCs w:val="26"/>
        </w:rPr>
        <w:t xml:space="preserve">5.1 Contamination Source</w:t>
      </w:r>
    </w:p>
    <w:p>
      <w:pPr>
        <w:spacing w:after="120"/>
        <w:jc w:val="left"/>
      </w:pPr>
      <w:r>
        <w:rPr>
          <w:rFonts w:ascii="Calibri" w:cs="Calibri" w:eastAsia="Calibri" w:hAnsi="Calibri"/>
          <w:b w:val="false"/>
          <w:bCs w:val="false"/>
          <w:i w:val="false"/>
          <w:iCs w:val="false"/>
          <w:color w:val="1F2937"/>
          <w:sz w:val="21"/>
          <w:szCs w:val="21"/>
        </w:rPr>
        <w:t xml:space="preserve">Listeria contamination traced to FARM-NL-0042, an undisclosed backup farm near Breda used by Fresh Direct NL. This farm was not in MCG's approved supplier register, had not been subject to MCG's food safety audit program, and was operating with an expired HACCP certification (expired March 2025).</w:t>
      </w:r>
    </w:p>
    <w:p>
      <w:pPr>
        <w:spacing w:after="120" w:before="280"/>
      </w:pPr>
      <w:r>
        <w:rPr>
          <w:rFonts w:ascii="Calibri" w:cs="Calibri" w:eastAsia="Calibri" w:hAnsi="Calibri"/>
          <w:b/>
          <w:bCs/>
          <w:color w:val="0D7C8F"/>
          <w:sz w:val="26"/>
          <w:szCs w:val="26"/>
        </w:rPr>
        <w:t xml:space="preserve">5.2 Systemic Traceability Failure</w:t>
      </w:r>
    </w:p>
    <w:p>
      <w:pPr>
        <w:spacing w:after="120"/>
        <w:jc w:val="left"/>
      </w:pPr>
      <w:r>
        <w:rPr>
          <w:rFonts w:ascii="Calibri" w:cs="Calibri" w:eastAsia="Calibri" w:hAnsi="Calibri"/>
          <w:b w:val="false"/>
          <w:bCs w:val="false"/>
          <w:i w:val="false"/>
          <w:iCs w:val="false"/>
          <w:color w:val="1F2937"/>
          <w:sz w:val="21"/>
          <w:szCs w:val="21"/>
        </w:rPr>
        <w:t xml:space="preserve">MCG's traceability infrastructure requires cross-referencing 4 disconnected systems with no common lot-level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System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What It Knows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What It Doesn't Know</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SAP S/4HANA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PO, supplier, receipt date, quantity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Lot-to-store mapping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Oracle WMS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Lot numbers, storage locations, picks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Outbound store destinations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Descartes TMS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Shipment routes, carrier, delivery status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Product lot numbers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Salesforce Commerce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Customer orders, store assignments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Supplier lot numbers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D7C8F"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No single system can answer: 'Which stores received products from lot LOT-FD-2025-0614?' This is the fundamental traceability gap that Project CLARITY's unified data layer will solve.</w:t>
            </w:r>
          </w:p>
        </w:tc>
      </w:tr>
    </w:tbl>
    <w:p>
      <w:pPr>
        <w:pBdr>
          <w:bottom w:val="single" w:color="0D7C8F" w:sz="2" w:space="4"/>
        </w:pBdr>
        <w:spacing w:after="160" w:before="360"/>
      </w:pPr>
      <w:r>
        <w:rPr>
          <w:rFonts w:ascii="Calibri" w:cs="Calibri" w:eastAsia="Calibri" w:hAnsi="Calibri"/>
          <w:b/>
          <w:bCs/>
          <w:color w:val="1B2A4A"/>
          <w:sz w:val="30"/>
          <w:szCs w:val="30"/>
        </w:rPr>
        <w:t xml:space="preserve">6. Regulatory Outcome</w:t>
      </w:r>
    </w:p>
    <w:p>
      <w:pPr>
        <w:spacing w:after="120"/>
        <w:jc w:val="left"/>
      </w:pPr>
      <w:r>
        <w:rPr>
          <w:rFonts w:ascii="Calibri" w:cs="Calibri" w:eastAsia="Calibri" w:hAnsi="Calibri"/>
          <w:b w:val="false"/>
          <w:bCs w:val="false"/>
          <w:i w:val="false"/>
          <w:iCs w:val="false"/>
          <w:color w:val="1F2937"/>
          <w:sz w:val="21"/>
          <w:szCs w:val="21"/>
        </w:rPr>
        <w:t xml:space="preserve">NVWA issued formal citation NVWA-2025-CIT-04412 on 12 June 2025 during a routine inspection that coincided with the recall period. The citation included 5 findings (detailed in COMP-2025-NVWA). MCG submitted corrective action plan on 15 July 2025. NVWA follow-up inspection expected Q1 2026.</w:t>
      </w:r>
    </w:p>
    <w:p>
      <w:pPr>
        <w:spacing w:after="120"/>
        <w:jc w:val="left"/>
      </w:pPr>
      <w:r>
        <w:rPr>
          <w:rFonts w:ascii="Calibri" w:cs="Calibri" w:eastAsia="Calibri" w:hAnsi="Calibri"/>
          <w:b w:val="false"/>
          <w:bCs w:val="false"/>
          <w:i w:val="false"/>
          <w:iCs w:val="false"/>
          <w:color w:val="1F2937"/>
          <w:sz w:val="21"/>
          <w:szCs w:val="21"/>
        </w:rPr>
        <w:t xml:space="preserve">Additionally, a RASFF (Rapid Alert System for Food and Feed) notification was filed with the European Commission, triggering notification to food safety authorities in DE, BE, and FR.</w:t>
      </w:r>
    </w:p>
    <w:p>
      <w:pPr>
        <w:pBdr>
          <w:bottom w:val="single" w:color="0D7C8F" w:sz="2" w:space="4"/>
        </w:pBdr>
        <w:spacing w:after="160" w:before="360"/>
      </w:pPr>
      <w:r>
        <w:rPr>
          <w:rFonts w:ascii="Calibri" w:cs="Calibri" w:eastAsia="Calibri" w:hAnsi="Calibri"/>
          <w:b/>
          <w:bCs/>
          <w:color w:val="1B2A4A"/>
          <w:sz w:val="30"/>
          <w:szCs w:val="30"/>
        </w:rPr>
        <w:t xml:space="preserve">7. Lessons Learned</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Sub-tier supplier visibility is a critical gap — MCG must require disclosure of all sub-tier suppliers for food products.</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Store-level lot tracking at 32% is woefully inadequate — must reach 90%+ for effective recalls.</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Manual cross-referencing across 4 systems is not sustainable — unified traceability platform required.</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The 24-hour regulatory target is achievable only with connected systems and common data keys.</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Dr. Elena Vasquez</w:t>
      </w:r>
    </w:p>
    <w:p>
      <w:pPr>
        <w:spacing w:after="0"/>
      </w:pPr>
      <w:r>
        <w:rPr>
          <w:rFonts w:ascii="Calibri" w:cs="Calibri" w:eastAsia="Calibri" w:hAnsi="Calibri"/>
          <w:color w:val="6B7280"/>
          <w:sz w:val="19"/>
          <w:szCs w:val="19"/>
        </w:rPr>
        <w:t xml:space="preserve">Chief Compliance Officer</w:t>
      </w:r>
    </w:p>
    <w:p>
      <w:pPr>
        <w:spacing w:after="0"/>
      </w:pPr>
      <w:r>
        <w:rPr>
          <w:rFonts w:ascii="Calibri" w:cs="Calibri" w:eastAsia="Calibri" w:hAnsi="Calibri"/>
          <w:i/>
          <w:iCs/>
          <w:color w:val="6B7280"/>
          <w:sz w:val="19"/>
          <w:szCs w:val="19"/>
        </w:rPr>
        <w:t xml:space="preserve">Legal &amp; Compliance Division</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PRODUCT RECALL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2026-03-05T19:24:31.937Z</dcterms:created>
  <dcterms:modified xsi:type="dcterms:W3CDTF">2026-03-05T19:24:31.937Z</dcterms:modified>
</cp:coreProperties>
</file>

<file path=docProps/custom.xml><?xml version="1.0" encoding="utf-8"?>
<Properties xmlns="http://schemas.openxmlformats.org/officeDocument/2006/custom-properties" xmlns:vt="http://schemas.openxmlformats.org/officeDocument/2006/docPropsVTypes"/>
</file>