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0D7C8F" w:sz="2" w:space="4"/>
        </w:pBdr>
        <w:spacing w:after="160" w:before="360"/>
      </w:pPr>
      <w:r>
        <w:rPr>
          <w:rFonts w:ascii="Calibri" w:cs="Calibri" w:eastAsia="Calibri" w:hAnsi="Calibri"/>
          <w:b/>
          <w:bCs/>
          <w:color w:val="1B2A4A"/>
          <w:sz w:val="30"/>
          <w:szCs w:val="30"/>
        </w:rPr>
        <w:t xml:space="preserve">Formal Notice: TransFrio Logistics S.A. — Contract Performance Review</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Document ID</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SUPP-2025-TransFrio</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Date</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01 October 2025</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To</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TransFrio Logistics S.A., Rua das Palmeiras 450, São Paulo, Brazil</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Attention</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Ricardo Silva, CEO</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From</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Thomas Brennan, VP Supply Chain, MCG</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Re</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Performance deficiencies — São Paulo-Buenos Aires corridor</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Contract Ref</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MSA-2024-TF-LATAM-001</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Notice Type</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Formal Corrective Action Notice (Section 8.4 of MSA)</w:t>
            </w:r>
          </w:p>
        </w:tc>
      </w:tr>
    </w:tbl>
    <w:p>
      <w:pPr>
        <w:pBdr>
          <w:bottom w:val="single" w:color="0D7C8F" w:sz="2" w:space="4"/>
        </w:pBdr>
        <w:spacing w:after="160" w:before="360"/>
      </w:pPr>
      <w:r>
        <w:rPr>
          <w:rFonts w:ascii="Calibri" w:cs="Calibri" w:eastAsia="Calibri" w:hAnsi="Calibri"/>
          <w:b/>
          <w:bCs/>
          <w:color w:val="1B2A4A"/>
          <w:sz w:val="30"/>
          <w:szCs w:val="30"/>
        </w:rPr>
        <w:t xml:space="preserve">1. Notice of Performance Deficiency</w:t>
      </w:r>
    </w:p>
    <w:p>
      <w:pPr>
        <w:spacing w:after="120"/>
        <w:jc w:val="left"/>
      </w:pPr>
      <w:r>
        <w:rPr>
          <w:rFonts w:ascii="Calibri" w:cs="Calibri" w:eastAsia="Calibri" w:hAnsi="Calibri"/>
          <w:b w:val="false"/>
          <w:bCs w:val="false"/>
          <w:i w:val="false"/>
          <w:iCs w:val="false"/>
          <w:color w:val="1F2937"/>
          <w:sz w:val="21"/>
          <w:szCs w:val="21"/>
        </w:rPr>
        <w:t xml:space="preserve">Meridian Commerce Group hereby provides formal notice of significant performance deficiencies under Master Service Agreement MSA-2024-TF-LATAM-001, specifically relating to cold chain integrity on the São Paulo-Buenos Aires transportation corridor during Q3 2025.</w:t>
      </w:r>
    </w:p>
    <w:p>
      <w:pPr>
        <w:spacing w:after="120"/>
        <w:jc w:val="left"/>
      </w:pPr>
      <w:r>
        <w:rPr>
          <w:rFonts w:ascii="Calibri" w:cs="Calibri" w:eastAsia="Calibri" w:hAnsi="Calibri"/>
          <w:b w:val="false"/>
          <w:bCs w:val="false"/>
          <w:i w:val="false"/>
          <w:iCs w:val="false"/>
          <w:color w:val="1F2937"/>
          <w:sz w:val="21"/>
          <w:szCs w:val="21"/>
        </w:rPr>
        <w:t xml:space="preserve">This notice follows the investigation findings of Incident INC-2025-05102 (TransFrio São Paulo-Buenos Aires Spoilage Event) which identified systematic cold chain failures traceable to fleet management decisions made without MCG notification.</w:t>
      </w:r>
    </w:p>
    <w:p>
      <w:pPr>
        <w:pBdr>
          <w:bottom w:val="single" w:color="0D7C8F" w:sz="2" w:space="4"/>
        </w:pBdr>
        <w:spacing w:after="160" w:before="360"/>
      </w:pPr>
      <w:r>
        <w:rPr>
          <w:rFonts w:ascii="Calibri" w:cs="Calibri" w:eastAsia="Calibri" w:hAnsi="Calibri"/>
          <w:b/>
          <w:bCs/>
          <w:color w:val="1B2A4A"/>
          <w:sz w:val="30"/>
          <w:szCs w:val="30"/>
        </w:rPr>
        <w:t xml:space="preserve">2. Performance Data</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Metric</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Contract Target</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Q2 Actual</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Q3 Actual</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Variance</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Temperature exceedance rate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&lt; 2%</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2.1%</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8.8%</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+6.8% ⚠</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Spoilage rate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&lt; 0.5%</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0.6%</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3.4%</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+2.9% ⚠</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On-time delivery</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95%</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93%</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81%</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-14% ⚠</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Pre-cooling compliance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100%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94%</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62%</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-38% ⚠</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Telemetry data sharing</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Real-time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Partial</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Not provided</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Non-compliant ⚠</w:t>
            </w:r>
          </w:p>
        </w:tc>
      </w:tr>
    </w:tbl>
    <w:p>
      <w:pPr>
        <w:spacing w:after="80"/>
      </w:pPr>
      <w:r>
        <w:rPr>
          <w:rFonts w:ascii="Calibri" w:cs="Calibri" w:eastAsia="Calibri" w:hAnsi="Calibri"/>
          <w:b/>
          <w:bCs/>
          <w:color w:val="1B2A4A"/>
          <w:sz w:val="21"/>
          <w:szCs w:val="21"/>
        </w:rPr>
        <w:t xml:space="preserve">Total MCG losses attributable to TransFrio Q3: </w:t>
      </w:r>
      <w:r>
        <w:rPr>
          <w:rFonts w:ascii="Calibri" w:cs="Calibri" w:eastAsia="Calibri" w:hAnsi="Calibri"/>
          <w:color w:val="1F2937"/>
          <w:sz w:val="21"/>
          <w:szCs w:val="21"/>
        </w:rPr>
        <w:t xml:space="preserve">$2.48M</w:t>
      </w:r>
    </w:p>
    <w:p>
      <w:pPr>
        <w:spacing w:after="80"/>
      </w:pPr>
      <w:r>
        <w:rPr>
          <w:rFonts w:ascii="Calibri" w:cs="Calibri" w:eastAsia="Calibri" w:hAnsi="Calibri"/>
          <w:b/>
          <w:bCs/>
          <w:color w:val="1B2A4A"/>
          <w:sz w:val="21"/>
          <w:szCs w:val="21"/>
        </w:rPr>
        <w:t xml:space="preserve">Breakdown: </w:t>
      </w:r>
      <w:r>
        <w:rPr>
          <w:rFonts w:ascii="Calibri" w:cs="Calibri" w:eastAsia="Calibri" w:hAnsi="Calibri"/>
          <w:color w:val="1F2937"/>
          <w:sz w:val="21"/>
          <w:szCs w:val="21"/>
        </w:rPr>
        <w:t xml:space="preserve">$1.82M product spoilage + $0.41M expedited replacements + $0.25M customer refunds</w:t>
      </w:r>
    </w:p>
    <w:p>
      <w:pPr>
        <w:pBdr>
          <w:bottom w:val="single" w:color="0D7C8F" w:sz="2" w:space="4"/>
        </w:pBdr>
        <w:spacing w:after="160" w:before="360"/>
      </w:pPr>
      <w:r>
        <w:rPr>
          <w:rFonts w:ascii="Calibri" w:cs="Calibri" w:eastAsia="Calibri" w:hAnsi="Calibri"/>
          <w:b/>
          <w:bCs/>
          <w:color w:val="1B2A4A"/>
          <w:sz w:val="30"/>
          <w:szCs w:val="30"/>
        </w:rPr>
        <w:t xml:space="preserve">3. Root Cause — Fleet Change Without Notification</w:t>
      </w:r>
    </w:p>
    <w:p>
      <w:pPr>
        <w:spacing w:after="120"/>
        <w:jc w:val="left"/>
      </w:pPr>
      <w:r>
        <w:rPr>
          <w:rFonts w:ascii="Calibri" w:cs="Calibri" w:eastAsia="Calibri" w:hAnsi="Calibri"/>
          <w:b w:val="false"/>
          <w:bCs w:val="false"/>
          <w:i w:val="false"/>
          <w:iCs w:val="false"/>
          <w:color w:val="1F2937"/>
          <w:sz w:val="21"/>
          <w:szCs w:val="21"/>
        </w:rPr>
        <w:t xml:space="preserve">Investigation revealed that TransFrio replaced 6 of its 12 São Paulo-Buenos Aires fleet trucks in July 2025 with newer Thermo King X4 7500 reefer units. The new units require a different startup sequence that drivers were not trained on. As a result:</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Drivers were starting the new reefer units with the old procedure, causing a 45-minute cooling delay</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Pre-cooling target of 0°C was rarely achieved — most units departed at 4-6°C</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The 14-hour São Paulo-Buenos Aires border crossing wait (without active power at Argentine customs) caused temperatures to exceed 8°C for extended periods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1B2A4A" w:val="solid"/>
          </w:tcPr>
          <w:p>
            <w:pPr>
              <w:spacing w:after="0"/>
            </w:pPr>
            <w:r>
              <w:rPr>
                <w:sz w:val="10"/>
                <w:szCs w:val="10"/>
              </w:rPr>
              <w:t xml:space="preserve"> </w:t>
            </w:r>
          </w:p>
        </w:tc>
        <w:tc>
          <w:tcPr>
            <w:tcW w:type="pct" w:w="99%"/>
            <w:shd w:color="F2F4F7" w:val="solid"/>
            <w:tcMar>
              <w:top w:type="dxa" w:w="80"/>
              <w:left w:type="dxa" w:w="120"/>
              <w:bottom w:type="dxa" w:w="80"/>
              <w:right w:type="dxa" w:w="120"/>
            </w:tcMar>
          </w:tcPr>
          <w:p>
            <w:pPr>
              <w:spacing w:after="0"/>
            </w:pPr>
            <w:r>
              <w:rPr>
                <w:rFonts w:ascii="Calibri" w:cs="Calibri" w:eastAsia="Calibri" w:hAnsi="Calibri"/>
                <w:color w:val="1F2937"/>
                <w:sz w:val="20"/>
                <w:szCs w:val="20"/>
              </w:rPr>
              <w:t xml:space="preserve">This fleet change was NOT communicated to MCG. The performance degradation was initially dismissed as 'summer heat' by both MCG and TransFrio operations teams because IoT temperature data (Tive sensors) and carrier fleet data lived in different systems with no correlation. It took 3 weeks and manual analyst work to identify the true root cause.</w:t>
            </w:r>
          </w:p>
        </w:tc>
      </w:tr>
    </w:tbl>
    <w:p>
      <w:pPr>
        <w:pBdr>
          <w:bottom w:val="single" w:color="0D7C8F" w:sz="2" w:space="4"/>
        </w:pBdr>
        <w:spacing w:after="160" w:before="360"/>
      </w:pPr>
      <w:r>
        <w:rPr>
          <w:rFonts w:ascii="Calibri" w:cs="Calibri" w:eastAsia="Calibri" w:hAnsi="Calibri"/>
          <w:b/>
          <w:bCs/>
          <w:color w:val="1B2A4A"/>
          <w:sz w:val="30"/>
          <w:szCs w:val="30"/>
        </w:rPr>
        <w:t xml:space="preserve">4. Required Corrective Actions</w:t>
      </w:r>
    </w:p>
    <w:p>
      <w:pPr>
        <w:spacing w:after="80"/>
        <w:ind w:left="431"/>
      </w:pPr>
      <w:r>
        <w:rPr>
          <w:rFonts w:ascii="Calibri" w:cs="Calibri" w:eastAsia="Calibri" w:hAnsi="Calibri"/>
          <w:b/>
          <w:bCs/>
          <w:color w:val="0D7C8F"/>
          <w:sz w:val="21"/>
          <w:szCs w:val="21"/>
        </w:rPr>
        <w:t xml:space="preserve">1. </w:t>
      </w:r>
      <w:r>
        <w:rPr>
          <w:rFonts w:ascii="Calibri" w:cs="Calibri" w:eastAsia="Calibri" w:hAnsi="Calibri"/>
          <w:b w:val="false"/>
          <w:bCs w:val="false"/>
          <w:color w:val="1F2937"/>
          <w:sz w:val="21"/>
          <w:szCs w:val="21"/>
        </w:rPr>
        <w:t xml:space="preserve">Immediate: Pre-cool all transport units to 0°C (down from 2°C) before loading. Loading verification required.</w:t>
      </w:r>
    </w:p>
    <w:p>
      <w:pPr>
        <w:spacing w:after="80"/>
        <w:ind w:left="431"/>
      </w:pPr>
      <w:r>
        <w:rPr>
          <w:rFonts w:ascii="Calibri" w:cs="Calibri" w:eastAsia="Calibri" w:hAnsi="Calibri"/>
          <w:b/>
          <w:bCs/>
          <w:color w:val="0D7C8F"/>
          <w:sz w:val="21"/>
          <w:szCs w:val="21"/>
        </w:rPr>
        <w:t xml:space="preserve">2. </w:t>
      </w:r>
      <w:r>
        <w:rPr>
          <w:rFonts w:ascii="Calibri" w:cs="Calibri" w:eastAsia="Calibri" w:hAnsi="Calibri"/>
          <w:b w:val="false"/>
          <w:bCs w:val="false"/>
          <w:color w:val="1F2937"/>
          <w:sz w:val="21"/>
          <w:szCs w:val="21"/>
        </w:rPr>
        <w:t xml:space="preserve">Within 30 days: Install auxiliary power units (APUs) on all São Paulo-Buenos Aires fleet vehicles to maintain refrigeration during the 14-hour Argentine border wait.</w:t>
      </w:r>
    </w:p>
    <w:p>
      <w:pPr>
        <w:spacing w:after="80"/>
        <w:ind w:left="431"/>
      </w:pPr>
      <w:r>
        <w:rPr>
          <w:rFonts w:ascii="Calibri" w:cs="Calibri" w:eastAsia="Calibri" w:hAnsi="Calibri"/>
          <w:b/>
          <w:bCs/>
          <w:color w:val="0D7C8F"/>
          <w:sz w:val="21"/>
          <w:szCs w:val="21"/>
        </w:rPr>
        <w:t xml:space="preserve">3. </w:t>
      </w:r>
      <w:r>
        <w:rPr>
          <w:rFonts w:ascii="Calibri" w:cs="Calibri" w:eastAsia="Calibri" w:hAnsi="Calibri"/>
          <w:b w:val="false"/>
          <w:bCs w:val="false"/>
          <w:color w:val="1F2937"/>
          <w:sz w:val="21"/>
          <w:szCs w:val="21"/>
        </w:rPr>
        <w:t xml:space="preserve">Within 60 days: Implement real-time telemetry data sharing with MCG via REST API integration (specification provided separately).</w:t>
      </w:r>
    </w:p>
    <w:p>
      <w:pPr>
        <w:spacing w:after="80"/>
        <w:ind w:left="431"/>
      </w:pPr>
      <w:r>
        <w:rPr>
          <w:rFonts w:ascii="Calibri" w:cs="Calibri" w:eastAsia="Calibri" w:hAnsi="Calibri"/>
          <w:b/>
          <w:bCs/>
          <w:color w:val="0D7C8F"/>
          <w:sz w:val="21"/>
          <w:szCs w:val="21"/>
        </w:rPr>
        <w:t xml:space="preserve">4. </w:t>
      </w:r>
      <w:r>
        <w:rPr>
          <w:rFonts w:ascii="Calibri" w:cs="Calibri" w:eastAsia="Calibri" w:hAnsi="Calibri"/>
          <w:b w:val="false"/>
          <w:bCs w:val="false"/>
          <w:color w:val="1F2937"/>
          <w:sz w:val="21"/>
          <w:szCs w:val="21"/>
        </w:rPr>
        <w:t xml:space="preserve">Within 90 days: Complete driver retraining on Thermo King X4 7500 startup sequence and provide certification records to MCG.</w:t>
      </w:r>
    </w:p>
    <w:p>
      <w:pPr>
        <w:pBdr>
          <w:bottom w:val="single" w:color="0D7C8F" w:sz="2" w:space="4"/>
        </w:pBdr>
        <w:spacing w:after="160" w:before="360"/>
      </w:pPr>
      <w:r>
        <w:rPr>
          <w:rFonts w:ascii="Calibri" w:cs="Calibri" w:eastAsia="Calibri" w:hAnsi="Calibri"/>
          <w:b/>
          <w:bCs/>
          <w:color w:val="1B2A4A"/>
          <w:sz w:val="30"/>
          <w:szCs w:val="30"/>
        </w:rPr>
        <w:t xml:space="preserve">5. Penalty Structure</w:t>
      </w:r>
    </w:p>
    <w:p>
      <w:pPr>
        <w:spacing w:after="120"/>
        <w:jc w:val="left"/>
      </w:pPr>
      <w:r>
        <w:rPr>
          <w:rFonts w:ascii="Calibri" w:cs="Calibri" w:eastAsia="Calibri" w:hAnsi="Calibri"/>
          <w:b w:val="false"/>
          <w:bCs w:val="false"/>
          <w:i w:val="false"/>
          <w:iCs w:val="false"/>
          <w:color w:val="1F2937"/>
          <w:sz w:val="21"/>
          <w:szCs w:val="21"/>
        </w:rPr>
        <w:t xml:space="preserve">Effective immediately, the following penalty structure applies per Section 8.4 of the MSA:</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Violation</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Penalty</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Measurement</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Temperature exceedance &gt; 15 min</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USD $500 per incident</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Per Tive sensor reading</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Spoilage due to carrier negligence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Full product replacement + 15% handling</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Per shipment</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Failure to share telemetry data</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USD $2,000/month</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Binary compliance</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APU installation deadline missed</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MCG may engage alternate carrier at TransFrio cost differential</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Per vehicle</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Pre-cooling non-compliance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USD $200 per departure above 1°C</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Per loading event</w:t>
            </w:r>
          </w:p>
        </w:tc>
      </w:tr>
    </w:tbl>
    <w:p>
      <w:pPr>
        <w:pBdr>
          <w:bottom w:val="single" w:color="0D7C8F" w:sz="2" w:space="4"/>
        </w:pBdr>
        <w:spacing w:after="160" w:before="360"/>
      </w:pPr>
      <w:r>
        <w:rPr>
          <w:rFonts w:ascii="Calibri" w:cs="Calibri" w:eastAsia="Calibri" w:hAnsi="Calibri"/>
          <w:b/>
          <w:bCs/>
          <w:color w:val="1B2A4A"/>
          <w:sz w:val="30"/>
          <w:szCs w:val="30"/>
        </w:rPr>
        <w:t xml:space="preserve">6. Consequences of Non-Compliance</w:t>
      </w:r>
    </w:p>
    <w:p>
      <w:pPr>
        <w:spacing w:after="120"/>
        <w:jc w:val="left"/>
      </w:pPr>
      <w:r>
        <w:rPr>
          <w:rFonts w:ascii="Calibri" w:cs="Calibri" w:eastAsia="Calibri" w:hAnsi="Calibri"/>
          <w:b w:val="false"/>
          <w:bCs w:val="false"/>
          <w:i w:val="false"/>
          <w:iCs w:val="false"/>
          <w:color w:val="1F2937"/>
          <w:sz w:val="21"/>
          <w:szCs w:val="21"/>
        </w:rPr>
        <w:t xml:space="preserve">If corrective actions are not substantially completed within specified deadlines, MCG reserves the right to:</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Terminate the MSA with 30 days written notice per Section 14.3</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Pursue recovery of Q3 2025 spoilage losses ($2.48M) through formal dispute resolution per Section 16</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Engage alternate carriers for the São Paulo-Buenos Aires corridor effective immediately</w:t>
      </w:r>
    </w:p>
    <w:p>
      <w:pPr>
        <w:spacing w:after="120"/>
        <w:jc w:val="left"/>
      </w:pPr>
      <w:r>
        <w:rPr>
          <w:rFonts w:ascii="Calibri" w:cs="Calibri" w:eastAsia="Calibri" w:hAnsi="Calibri"/>
          <w:b w:val="false"/>
          <w:bCs w:val="false"/>
          <w:i w:val="false"/>
          <w:iCs w:val="false"/>
          <w:color w:val="1F2937"/>
          <w:sz w:val="21"/>
          <w:szCs w:val="21"/>
        </w:rPr>
        <w:t xml:space="preserve">MCG has identified two alternate carriers (LogFrio Argentina S.A. and Friovías LATAM) with available capacity on this corridor.</w:t>
      </w:r>
    </w:p>
    <w:p>
      <w:pPr>
        <w:spacing w:after="0" w:before="400"/>
      </w:pPr>
    </w:p>
    <w:p>
      <w:pPr>
        <w:pBdr>
          <w:bottom w:val="single" w:color="6B7280" w:sz="1" w:space="1"/>
        </w:pBdr>
        <w:spacing w:after="0"/>
      </w:pPr>
      <w:r>
        <w:rPr>
          <w:sz w:val="20"/>
          <w:szCs w:val="20"/>
        </w:rPr>
        <w:t xml:space="preserve">                                                          </w:t>
      </w:r>
    </w:p>
    <w:p>
      <w:pPr>
        <w:spacing w:after="0"/>
      </w:pPr>
      <w:r>
        <w:rPr>
          <w:rFonts w:ascii="Calibri" w:cs="Calibri" w:eastAsia="Calibri" w:hAnsi="Calibri"/>
          <w:b/>
          <w:bCs/>
          <w:color w:val="1B2A4A"/>
          <w:sz w:val="20"/>
          <w:szCs w:val="20"/>
        </w:rPr>
        <w:t xml:space="preserve">Thomas Brennan</w:t>
      </w:r>
    </w:p>
    <w:p>
      <w:pPr>
        <w:spacing w:after="0"/>
      </w:pPr>
      <w:r>
        <w:rPr>
          <w:rFonts w:ascii="Calibri" w:cs="Calibri" w:eastAsia="Calibri" w:hAnsi="Calibri"/>
          <w:color w:val="6B7280"/>
          <w:sz w:val="19"/>
          <w:szCs w:val="19"/>
        </w:rPr>
        <w:t xml:space="preserve">VP Supply Chain</w:t>
      </w:r>
    </w:p>
    <w:p>
      <w:pPr>
        <w:spacing w:after="0"/>
      </w:pPr>
      <w:r>
        <w:rPr>
          <w:rFonts w:ascii="Calibri" w:cs="Calibri" w:eastAsia="Calibri" w:hAnsi="Calibri"/>
          <w:i/>
          <w:iCs/>
          <w:color w:val="6B7280"/>
          <w:sz w:val="19"/>
          <w:szCs w:val="19"/>
        </w:rPr>
        <w:t xml:space="preserve">Meridian Commerce Group</w:t>
      </w:r>
    </w:p>
    <w:sectPr>
      <w:headerReference w:type="default" r:id="rId7"/>
      <w:footerReference w:type="default" r:id="rId8"/>
      <w:pgSz w:w="11906" w:h="16838" w:orient="portrait"/>
      <w:pgMar w:top="1727" w:right="1440" w:bottom="1152"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0D7C8F" w:sz="3" w:space="4"/>
      </w:pBdr>
      <w:spacing w:before="0"/>
    </w:pPr>
    <w:r>
      <w:rPr>
        <w:sz w:val="4"/>
        <w:szCs w:val="4"/>
      </w:rPr>
      <w:t xml:space="preserve"/>
    </w:r>
  </w:p>
  <w:p>
    <w:pPr>
      <w:spacing w:after="0" w:before="0"/>
      <w:jc w:val="center"/>
    </w:pPr>
    <w:r>
      <w:rPr>
        <w:rFonts w:ascii="Calibri" w:cs="Calibri" w:eastAsia="Calibri" w:hAnsi="Calibri"/>
        <w:color w:val="6B7280"/>
        <w:sz w:val="14"/>
        <w:szCs w:val="14"/>
      </w:rPr>
      <w:t xml:space="preserve">Meridian Commerce Group  •  </w:t>
    </w:r>
    <w:r>
      <w:rPr>
        <w:rFonts w:ascii="Calibri" w:cs="Calibri" w:eastAsia="Calibri" w:hAnsi="Calibri"/>
        <w:color w:val="6B7280"/>
        <w:sz w:val="14"/>
        <w:szCs w:val="14"/>
      </w:rPr>
      <w:t xml:space="preserve">Weena 505, 3013 AL Rotterdam, Netherlands</w:t>
    </w:r>
  </w:p>
  <w:p>
    <w:pPr>
      <w:spacing w:after="0" w:before="0"/>
      <w:jc w:val="center"/>
    </w:pPr>
    <w:r>
      <w:rPr>
        <w:rFonts w:ascii="Calibri" w:cs="Calibri" w:eastAsia="Calibri" w:hAnsi="Calibri"/>
        <w:color w:val="6B7280"/>
        <w:sz w:val="14"/>
        <w:szCs w:val="14"/>
      </w:rPr>
      <w:t xml:space="preserve">+31 10 798 4000  •  www.meridiancommerce.com  •  info@meridiancommerce.com</w:t>
    </w:r>
  </w:p>
  <w:p>
    <w:pPr>
      <w:spacing w:after="0" w:before="40"/>
      <w:jc w:val="center"/>
    </w:pPr>
    <w:r>
      <w:rPr>
        <w:rFonts w:ascii="Calibri" w:cs="Calibri" w:eastAsia="Calibri" w:hAnsi="Calibri"/>
        <w:b/>
        <w:bCs/>
        <w:color w:val="C4922E"/>
        <w:sz w:val="13"/>
        <w:szCs w:val="13"/>
      </w:rPr>
      <w:t xml:space="preserve">CONFIDENTIAL — </w:t>
    </w:r>
    <w:r>
      <w:rPr>
        <w:rFonts w:ascii="Calibri" w:cs="Calibri" w:eastAsia="Calibri" w:hAnsi="Calibri"/>
        <w:color w:val="6B7280"/>
        <w:sz w:val="13"/>
        <w:szCs w:val="13"/>
      </w:rPr>
      <w:t xml:space="preserve">Page </w:t>
    </w:r>
    <w:r>
      <w:rPr>
        <w:rFonts w:ascii="Calibri" w:cs="Calibri" w:eastAsia="Calibri" w:hAnsi="Calibri"/>
        <w:color w:val="6B7280"/>
        <w:sz w:val="13"/>
        <w:szCs w:val="13"/>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pPr>
    <w:r>
      <w:rPr>
        <w:rFonts w:ascii="Calibri" w:cs="Calibri" w:eastAsia="Calibri" w:hAnsi="Calibri"/>
        <w:b/>
        <w:bCs/>
        <w:color w:val="1B2A4A"/>
        <w:sz w:val="28"/>
        <w:szCs w:val="28"/>
      </w:rPr>
      <w:t xml:space="preserve">MERIDIAN</w:t>
    </w:r>
    <w:r>
      <w:rPr>
        <w:rFonts w:ascii="Calibri" w:cs="Calibri" w:eastAsia="Calibri" w:hAnsi="Calibri"/>
        <w:b w:val="false"/>
        <w:bCs w:val="false"/>
        <w:color w:val="1B2A4A"/>
        <w:sz w:val="28"/>
        <w:szCs w:val="28"/>
      </w:rPr>
      <w:t xml:space="preserve"> COMMERCE </w:t>
    </w:r>
    <w:r>
      <w:rPr>
        <w:rFonts w:ascii="Calibri" w:cs="Calibri" w:eastAsia="Calibri" w:hAnsi="Calibri"/>
        <w:b/>
        <w:bCs/>
        <w:color w:val="0D7C8F"/>
        <w:sz w:val="28"/>
        <w:szCs w:val="28"/>
      </w:rPr>
      <w:t xml:space="preserve">GROUP</w:t>
    </w:r>
  </w:p>
  <w:p>
    <w:pPr>
      <w:spacing w:after="0"/>
    </w:pPr>
    <w:r>
      <w:rPr>
        <w:rFonts w:ascii="Calibri" w:cs="Calibri" w:eastAsia="Calibri" w:hAnsi="Calibri"/>
        <w:i/>
        <w:iCs/>
        <w:color w:val="6B7280"/>
        <w:sz w:val="16"/>
        <w:szCs w:val="16"/>
      </w:rPr>
      <w:t xml:space="preserve">The neighborhood store with global reach</w:t>
    </w:r>
  </w:p>
  <w:p>
    <w:pPr>
      <w:pBdr>
        <w:bottom w:val="single" w:color="0D7C8F" w:sz="6" w:space="4"/>
      </w:pBdr>
      <w:spacing w:after="0"/>
    </w:pPr>
    <w:r>
      <w:rPr>
        <w:sz w:val="4"/>
        <w:szCs w:val="4"/>
      </w:rPr>
      <w:t xml:space="preserve"/>
    </w:r>
  </w:p>
  <w:p>
    <w:pPr>
      <w:spacing w:after="0" w:before="60"/>
      <w:jc w:val="right"/>
    </w:pPr>
    <w:r>
      <w:rPr>
        <w:rFonts w:ascii="Calibri" w:cs="Calibri" w:eastAsia="Calibri" w:hAnsi="Calibri"/>
        <w:b/>
        <w:bCs/>
        <w:caps/>
        <w:color w:val="C4922E"/>
        <w:sz w:val="18"/>
        <w:szCs w:val="18"/>
      </w:rPr>
      <w:t xml:space="preserve">FORMAL NOTICE — CONTRACT REVIEW</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937"/>
        <w:sz w:val="22"/>
        <w:szCs w:val="22"/>
      </w:rPr>
    </w:rPrDefault>
    <w:pPrDefault>
      <w:pPr>
        <w:spacing w:after="12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200" w:before="360"/>
    </w:pPr>
    <w:rPr>
      <w:rFonts w:ascii="Calibri" w:cs="Calibri" w:eastAsia="Calibri" w:hAnsi="Calibri"/>
      <w:b/>
      <w:bCs/>
      <w:color w:val="1B2A4A"/>
      <w:sz w:val="32"/>
      <w:szCs w:val="32"/>
    </w:rPr>
  </w:style>
  <w:style w:type="paragraph" w:styleId="Heading2">
    <w:name w:val="Heading 2"/>
    <w:basedOn w:val="Normal"/>
    <w:next w:val="Normal"/>
    <w:qFormat/>
    <w:pPr>
      <w:spacing w:after="160" w:before="300"/>
    </w:pPr>
    <w:rPr>
      <w:rFonts w:ascii="Calibri" w:cs="Calibri" w:eastAsia="Calibri" w:hAnsi="Calibri"/>
      <w:b/>
      <w:bCs/>
      <w:color w:val="0D7C8F"/>
      <w:sz w:val="26"/>
      <w:szCs w:val="26"/>
    </w:rPr>
  </w:style>
  <w:style w:type="paragraph" w:styleId="Heading3">
    <w:name w:val="Heading 3"/>
    <w:basedOn w:val="Normal"/>
    <w:next w:val="Normal"/>
    <w:qFormat/>
    <w:pPr>
      <w:spacing w:after="120" w:before="240"/>
    </w:pPr>
    <w:rPr>
      <w:rFonts w:ascii="Calibri" w:cs="Calibri" w:eastAsia="Calibri" w:hAnsi="Calibri"/>
      <w:b/>
      <w:bCs/>
      <w:color w:val="1B2A4A"/>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2026-03-05T19:24:31.872Z</dcterms:created>
  <dcterms:modified xsi:type="dcterms:W3CDTF">2026-03-05T19:24:31.872Z</dcterms:modified>
</cp:coreProperties>
</file>

<file path=docProps/custom.xml><?xml version="1.0" encoding="utf-8"?>
<Properties xmlns="http://schemas.openxmlformats.org/officeDocument/2006/custom-properties" xmlns:vt="http://schemas.openxmlformats.org/officeDocument/2006/docPropsVTypes"/>
</file>