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580" w:sz="2" w:space="4"/>
        </w:pBdr>
        <w:spacing w:after="160" w:before="360"/>
      </w:pPr>
      <w:r>
        <w:rPr>
          <w:rFonts w:ascii="Inter" w:cs="Inter" w:eastAsia="Inter" w:hAnsi="Inter"/>
          <w:b/>
          <w:bCs/>
          <w:color w:val="19416C"/>
          <w:sz w:val="30"/>
          <w:szCs w:val="30"/>
        </w:rPr>
        <w:t xml:space="preserve">Module 4: Data Lineage, Profiling &amp; Trust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Duration</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8-12 minutes</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Checklist Phase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Phase 3b</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Nightmares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#1 (Phantom Inventory), #4 (Silent Pipelines)</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Components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Data Lineage, Impact Analysis, Data Profiling, Trust Score</w:t>
            </w:r>
          </w:p>
        </w:tc>
      </w:tr>
    </w:tbl>
    <w:p>
      <w:pPr>
        <w:spacing w:after="120" w:before="280"/>
      </w:pPr>
      <w:r>
        <w:rPr>
          <w:rFonts w:ascii="Inter" w:cs="Inter" w:eastAsia="Inter" w:hAnsi="Inter"/>
          <w:b/>
          <w:bCs/>
          <w:color w:val="006580"/>
          <w:sz w:val="26"/>
          <w:szCs w:val="26"/>
        </w:rPr>
        <w:t xml:space="preserve">Overview</w:t>
      </w:r>
    </w:p>
    <w:p>
      <w:pPr>
        <w:spacing w:after="120"/>
        <w:jc w:val="left"/>
      </w:pPr>
      <w:r>
        <w:rPr>
          <w:rFonts w:ascii="Inter" w:cs="Inter" w:eastAsia="Inter" w:hAnsi="Inter"/>
          <w:b w:val="false"/>
          <w:bCs w:val="false"/>
          <w:i w:val="false"/>
          <w:iCs w:val="false"/>
          <w:color w:val="454659"/>
          <w:sz w:val="21"/>
          <w:szCs w:val="21"/>
        </w:rPr>
        <w:t xml:space="preserve">This module demonstrates Qlik's governance capabilities: tracing data from source to dashboard (lineage), understanding what breaks when a table changes (impact analysis), automated quality profiling, and Trust Scores that quantify data reliability.</w:t>
      </w:r>
    </w:p>
    <w:p>
      <w:pPr>
        <w:spacing w:after="120" w:before="280"/>
      </w:pPr>
      <w:r>
        <w:rPr>
          <w:rFonts w:ascii="Inter" w:cs="Inter" w:eastAsia="Inter" w:hAnsi="Inter"/>
          <w:b/>
          <w:bCs/>
          <w:color w:val="006580"/>
          <w:sz w:val="26"/>
          <w:szCs w:val="26"/>
        </w:rPr>
        <w:t xml:space="preserve">Demo Methodology: Tell → Show → Tell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19416C" w:val="solid"/>
          </w:tcPr>
          <w:p>
            <w:pPr>
              <w:spacing w:after="0"/>
            </w:pPr>
            <w:r>
              <w:rPr>
                <w:sz w:val="10"/>
                <w:szCs w:val="10"/>
              </w:rPr>
              <w:t xml:space="preserve"> </w:t>
            </w:r>
          </w:p>
        </w:tc>
        <w:tc>
          <w:tcPr>
            <w:tcW w:type="pct" w:w="98%"/>
            <w:shd w:color="E3EAF3" w:val="solid"/>
            <w:tcMar>
              <w:top w:type="dxa" w:w="60"/>
              <w:left w:type="dxa" w:w="120"/>
              <w:bottom w:type="dxa" w:w="60"/>
              <w:right w:type="dxa" w:w="120"/>
            </w:tcMar>
          </w:tcPr>
          <w:p>
            <w:pPr>
              <w:spacing w:after="40"/>
            </w:pPr>
            <w:r>
              <w:rPr>
                <w:rFonts w:ascii="Inter" w:cs="Inter" w:eastAsia="Inter" w:hAnsi="Inter"/>
                <w:b/>
                <w:bCs/>
                <w:color w:val="19416C"/>
                <w:sz w:val="18"/>
                <w:szCs w:val="18"/>
              </w:rPr>
              <w:t xml:space="preserve">Limbic Opening  (Discovery Findings)</w:t>
            </w:r>
          </w:p>
          <w:p>
            <w:pPr>
              <w:spacing w:after="0"/>
            </w:pPr>
            <w:r>
              <w:rPr>
                <w:rFonts w:ascii="Inter" w:cs="Inter" w:eastAsia="Inter" w:hAnsi="Inter"/>
                <w:i/>
                <w:iCs/>
                <w:color w:val="454659"/>
                <w:sz w:val="20"/>
                <w:szCs w:val="20"/>
              </w:rPr>
              <w:t xml:space="preserve">The Rotterdam CDC pipeline failed on a Friday afternoon. Nobody noticed until Monday. By then, 72 hours of inventory data was stale. Three Gold data products showed wrong numbers. Two dashboards were making decisions on phantom data. The Trust Score dropped from 0.89 to 0.31 — but there was no Trust Score back then. There was just a phone call from a very angry VP on Monday morning.</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454659"/>
          <w:sz w:val="20"/>
          <w:szCs w:val="20"/>
        </w:rPr>
        <w:t xml:space="preserve">"When a data pipeline fails silently, how long does it typically take your team to discover it?"</w:t>
      </w:r>
    </w:p>
    <w:p>
      <w:pPr>
        <w:spacing w:after="120" w:before="280"/>
      </w:pPr>
      <w:r>
        <w:rPr>
          <w:rFonts w:ascii="Inter" w:cs="Inter" w:eastAsia="Inter" w:hAnsi="Inter"/>
          <w:b/>
          <w:bCs/>
          <w:color w:val="006580"/>
          <w:sz w:val="26"/>
          <w:szCs w:val="26"/>
        </w:rPr>
        <w:t xml:space="preserve">Demo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6580" w:sz="1"/>
              <w:left w:val="single" w:color="006580" w:sz="6"/>
              <w:bottom w:val="single" w:color="006580" w:sz="1"/>
              <w:right w:val="none"/>
            </w:tcBorders>
            <w:shd w:color="E0F2F5" w:val="solid"/>
            <w:tcMar>
              <w:top w:type="dxa" w:w="40"/>
              <w:left w:type="dxa" w:w="120"/>
              <w:bottom w:type="dxa" w:w="40"/>
              <w:right w:type="dxa" w:w="120"/>
            </w:tcMar>
          </w:tcPr>
          <w:p>
            <w:pPr>
              <w:spacing w:after="30"/>
            </w:pPr>
            <w:r>
              <w:rPr>
                <w:rFonts w:ascii="Inter" w:cs="Inter" w:eastAsia="Inter" w:hAnsi="Inter"/>
                <w:b/>
                <w:bCs/>
                <w:color w:val="006580"/>
                <w:sz w:val="16"/>
                <w:szCs w:val="16"/>
              </w:rPr>
              <w:t xml:space="preserve">TELL (before showing)</w:t>
            </w:r>
          </w:p>
          <w:p>
            <w:pPr>
              <w:spacing w:after="0"/>
            </w:pPr>
            <w:r>
              <w:rPr>
                <w:rFonts w:ascii="Inter" w:cs="Inter" w:eastAsia="Inter" w:hAnsi="Inter"/>
                <w:i/>
                <w:iCs/>
                <w:color w:val="454659"/>
                <w:sz w:val="18"/>
                <w:szCs w:val="18"/>
              </w:rPr>
              <w:t xml:space="preserve">What I'm about to show you are four governance capabilities that would have caught Rotterdam's failure in minutes, not days: visual lineage, impact analysis, automated profiling, and Trust Scores. These work together as an early warning system for data quality.</w:t>
            </w:r>
          </w:p>
        </w:tc>
      </w:tr>
    </w:tbl>
    <w:p>
      <w:pPr>
        <w:spacing w:after="100" w:before="200"/>
      </w:pPr>
      <w:r>
        <w:rPr>
          <w:rFonts w:ascii="Inter" w:cs="Inter" w:eastAsia="Inter" w:hAnsi="Inter"/>
          <w:b/>
          <w:bCs/>
          <w:color w:val="19416C"/>
          <w:sz w:val="22"/>
          <w:szCs w:val="22"/>
        </w:rPr>
        <w:t xml:space="preserve">Step 1: Data Lineage</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gold.supply_chain_health &gt; Lineage</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Show the visual lineage graph tracing back through:</w:t>
      </w:r>
    </w:p>
    <w:p>
      <w:pPr>
        <w:spacing w:after="120"/>
        <w:ind w:left="431"/>
        <w:jc w:val="left"/>
      </w:pPr>
      <w:r>
        <w:rPr>
          <w:rFonts w:ascii="Inter" w:cs="Inter" w:eastAsia="Inter" w:hAnsi="Inter"/>
          <w:b w:val="false"/>
          <w:bCs w:val="false"/>
          <w:i w:val="false"/>
          <w:iCs w:val="false"/>
          <w:color w:val="454659"/>
          <w:sz w:val="21"/>
          <w:szCs w:val="21"/>
        </w:rPr>
        <w:t xml:space="preserve">  Gold table &gt; Silver transformation route &gt; Bronze landing table &gt; PostgreSQL CDC pipeline &gt; Source database</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Click on a field (e.g., ira_pct) to show field-level lineage</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Repeat for gold.last_mile_performance — shows the carrier data streaming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Talking point: When the Rotterdam pipeline failed silently for 72 hours, nobody could trace what was affected. With Qlik lineage, you can see exactly which downstream tables and dashboards depend on any source.</w:t>
            </w:r>
          </w:p>
        </w:tc>
      </w:tr>
    </w:tbl>
    <w:p>
      <w:pPr>
        <w:spacing w:after="100" w:before="200"/>
      </w:pPr>
      <w:r>
        <w:rPr>
          <w:rFonts w:ascii="Inter" w:cs="Inter" w:eastAsia="Inter" w:hAnsi="Inter"/>
          <w:b/>
          <w:bCs/>
          <w:color w:val="19416C"/>
          <w:sz w:val="22"/>
          <w:szCs w:val="22"/>
        </w:rPr>
        <w:t xml:space="preserve">Step 2: Impact Analysis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silver.inventory_reconciled &gt; Impact Analysis</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Show downstream dependencies: Gold tables, analytics apps, ML experiments</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Explain: if this Silver table breaks, these 3 Gold products go stale, these 2 apps show wrong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Talking point: Impact analysis answers the question every data engineer dreads: 'If I change this table, what breaks?' Before Qlik, MCG had no way to know.</w:t>
            </w:r>
          </w:p>
        </w:tc>
      </w:tr>
    </w:tbl>
    <w:p>
      <w:pPr>
        <w:spacing w:after="100" w:before="200"/>
      </w:pPr>
      <w:r>
        <w:rPr>
          <w:rFonts w:ascii="Inter" w:cs="Inter" w:eastAsia="Inter" w:hAnsi="Inter"/>
          <w:b/>
          <w:bCs/>
          <w:color w:val="19416C"/>
          <w:sz w:val="22"/>
          <w:szCs w:val="22"/>
        </w:rPr>
        <w:t xml:space="preserve">Step 3: Data Profiling</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Run profiling on bronze.sf_contacts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Profiling should detect: 11% address format inconsistencies, 6% truncated fields (&gt;30 chars), null patterns in postal_code column</w:t>
            </w:r>
          </w:p>
        </w:tc>
      </w:tr>
    </w:tbl>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Run profiling on bronze.inventory_positions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Should flag: 15% of perishable items have NULL lot_number, timestamp columns have mixed timezone formats</w:t>
            </w:r>
          </w:p>
        </w:tc>
      </w:tr>
    </w:tbl>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Show profiling on silver.products_harmonized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Should identify: 8,200 products with NULL or zero weight_kg — these are Stewardship candidates</w:t>
            </w:r>
          </w:p>
        </w:tc>
      </w:tr>
    </w:tbl>
    <w:p>
      <w:pPr>
        <w:spacing w:after="100" w:before="200"/>
      </w:pPr>
      <w:r>
        <w:rPr>
          <w:rFonts w:ascii="Inter" w:cs="Inter" w:eastAsia="Inter" w:hAnsi="Inter"/>
          <w:b/>
          <w:bCs/>
          <w:color w:val="19416C"/>
          <w:sz w:val="22"/>
          <w:szCs w:val="22"/>
        </w:rPr>
        <w:t xml:space="preserve">Step 4: Trust Score</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a Gold data product &gt; Trust Score</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Show the four dimensions: Validity, Completeness, Discoverability, Usage</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Show Trust Score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Data Domain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Before Transformation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After Transformation</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Inventory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0.31</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0.89</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Addresses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0.42</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0.87</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Products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0.55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0.91</w:t>
            </w:r>
          </w:p>
        </w:tc>
      </w:tr>
    </w:tbl>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Demonstrate Trust Score drop: simulate a pipeline failure scenario for DC-RTD-01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Talking point: Trust Score is the single number that tells you whether you can trust your data. When Rotterdam's pipeline failed, the Trust Score dropped from 0.89 to 0.31 — that's an automatic alert, not a manual discovery 72 hours later.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9845" w:sz="1"/>
              <w:left w:val="single" w:color="009845" w:sz="6"/>
              <w:bottom w:val="single" w:color="009845" w:sz="1"/>
              <w:right w:val="none"/>
            </w:tcBorders>
            <w:shd w:color="E0F5EA" w:val="solid"/>
            <w:tcMar>
              <w:top w:type="dxa" w:w="40"/>
              <w:left w:type="dxa" w:w="120"/>
              <w:bottom w:type="dxa" w:w="40"/>
              <w:right w:type="dxa" w:w="120"/>
            </w:tcMar>
          </w:tcPr>
          <w:p>
            <w:pPr>
              <w:spacing w:after="30"/>
            </w:pPr>
            <w:r>
              <w:rPr>
                <w:rFonts w:ascii="Inter" w:cs="Inter" w:eastAsia="Inter" w:hAnsi="Inter"/>
                <w:b/>
                <w:bCs/>
                <w:color w:val="009845"/>
                <w:sz w:val="16"/>
                <w:szCs w:val="16"/>
              </w:rPr>
              <w:t xml:space="preserve">TELL (after showing)</w:t>
            </w:r>
          </w:p>
          <w:p>
            <w:pPr>
              <w:spacing w:after="0"/>
            </w:pPr>
            <w:r>
              <w:rPr>
                <w:rFonts w:ascii="Inter" w:cs="Inter" w:eastAsia="Inter" w:hAnsi="Inter"/>
                <w:i/>
                <w:iCs/>
                <w:color w:val="454659"/>
                <w:sz w:val="18"/>
                <w:szCs w:val="18"/>
              </w:rPr>
              <w:t xml:space="preserve">What you saw is an automated governance layer: lineage traces every record from source to dashboard, impact analysis shows exactly what breaks when something changes, profiling catches quality issues humans miss, and Trust Score gives you a single number — 0.89 means go, 0.31 means stop. Rotterdam's 72-hour silent failure? Now it's a 5-minute alert.</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454659"/>
          <w:sz w:val="20"/>
          <w:szCs w:val="20"/>
        </w:rPr>
        <w:t xml:space="preserve">"If you had a Trust Score for your critical data products today, what would it be? Above 0.7? Below?"</w:t>
      </w:r>
    </w:p>
    <w:p>
      <w:pPr>
        <w:spacing w:after="100" w:before="60"/>
      </w:pPr>
      <w:r>
        <w:rPr>
          <w:rFonts w:ascii="Inter" w:cs="Inter" w:eastAsia="Inter" w:hAnsi="Inter"/>
          <w:color w:val="454659"/>
          <w:sz w:val="20"/>
          <w:szCs w:val="20"/>
        </w:rPr>
        <w:t xml:space="preserve">See full data lineage and impact analysis automatically</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detect pipeline failures and quality degradation in minutes</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give the business confidence that the numbers they see are the numbers they can trust</w:t>
      </w:r>
    </w:p>
    <w:p>
      <w:pPr>
        <w:spacing w:after="120" w:before="280"/>
      </w:pPr>
      <w:r>
        <w:rPr>
          <w:rFonts w:ascii="Inter" w:cs="Inter" w:eastAsia="Inter" w:hAnsi="Inter"/>
          <w:b/>
          <w:bCs/>
          <w:color w:val="006580"/>
          <w:sz w:val="26"/>
          <w:szCs w:val="26"/>
        </w:rPr>
        <w:t xml:space="preserve">Talking Points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Lineage is automatic — Qlik traces every transformation, every join, every filter</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Impact analysis prevents 'change and pray' — you know what breaks before you change it</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Profiling catches problems humans miss — 11% format issues in 18.4M addresses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Trust Score turns subjective 'data quality' into an objective, trackable metric</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45" w:sz="4" w:space="4"/>
      </w:pBdr>
      <w:spacing w:before="0"/>
    </w:pPr>
    <w:r>
      <w:rPr>
        <w:sz w:val="4"/>
        <w:szCs w:val="4"/>
      </w:rPr>
      <w:t xml:space="preserve"/>
    </w:r>
  </w:p>
  <w:p>
    <w:pPr>
      <w:spacing w:after="0" w:before="0"/>
      <w:jc w:val="center"/>
    </w:pPr>
    <w:r>
      <w:rPr>
        <w:rFonts w:ascii="Inter" w:cs="Inter" w:eastAsia="Inter" w:hAnsi="Inter"/>
        <w:color w:val="454659"/>
        <w:sz w:val="14"/>
        <w:szCs w:val="14"/>
      </w:rPr>
      <w:t xml:space="preserve">Meridian Commerce Group  •  </w:t>
    </w:r>
    <w:r>
      <w:rPr>
        <w:rFonts w:ascii="Inter" w:cs="Inter" w:eastAsia="Inter" w:hAnsi="Inter"/>
        <w:color w:val="454659"/>
        <w:sz w:val="14"/>
        <w:szCs w:val="14"/>
      </w:rPr>
      <w:t xml:space="preserve">Weena 505, 3013 AL Rotterdam, Netherlands</w:t>
    </w:r>
  </w:p>
  <w:p>
    <w:pPr>
      <w:spacing w:after="0" w:before="0"/>
      <w:jc w:val="center"/>
    </w:pPr>
    <w:r>
      <w:rPr>
        <w:rFonts w:ascii="Inter" w:cs="Inter" w:eastAsia="Inter" w:hAnsi="Inter"/>
        <w:color w:val="454659"/>
        <w:sz w:val="14"/>
        <w:szCs w:val="14"/>
      </w:rPr>
      <w:t xml:space="preserve">+31 10 798 4000  •  www.meridiancommerce.com  •  info@meridiancommerce.com</w:t>
    </w:r>
  </w:p>
  <w:p>
    <w:pPr>
      <w:spacing w:after="0" w:before="40"/>
      <w:jc w:val="center"/>
    </w:pPr>
    <w:r>
      <w:rPr>
        <w:rFonts w:ascii="Inter" w:cs="Inter" w:eastAsia="Inter" w:hAnsi="Inter"/>
        <w:b/>
        <w:bCs/>
        <w:color w:val="009845"/>
        <w:sz w:val="13"/>
        <w:szCs w:val="13"/>
      </w:rPr>
      <w:t xml:space="preserve">CONFIDENTIAL — </w:t>
    </w:r>
    <w:r>
      <w:rPr>
        <w:rFonts w:ascii="Inter" w:cs="Inter" w:eastAsia="Inter" w:hAnsi="Inter"/>
        <w:color w:val="454659"/>
        <w:sz w:val="13"/>
        <w:szCs w:val="13"/>
      </w:rPr>
      <w:t xml:space="preserve">Page </w:t>
    </w:r>
    <w:r>
      <w:rPr>
        <w:rFonts w:ascii="Inter" w:cs="Inter" w:eastAsia="Inter" w:hAnsi="Inter"/>
        <w:color w:val="4546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76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33375"/>
                  </a:xfrm>
                  <a:prstGeom prst="rect">
                    <a:avLst/>
                  </a:prstGeom>
                </pic:spPr>
              </pic:pic>
            </a:graphicData>
          </a:graphic>
        </wp:inline>
      </w:drawing>
    </w:r>
    <w:r>
      <w:rPr>
        <w:rFonts w:ascii="Inter" w:cs="Inter" w:eastAsia="Inter" w:hAnsi="Inter"/>
        <w:sz w:val="20"/>
        <w:szCs w:val="20"/>
      </w:rPr>
      <w:t xml:space="preserve">   </w:t>
    </w:r>
    <w:r>
      <w:rPr>
        <w:rFonts w:ascii="Inter" w:cs="Inter" w:eastAsia="Inter" w:hAnsi="Inter"/>
        <w:b/>
        <w:bCs/>
        <w:color w:val="19416C"/>
        <w:sz w:val="26"/>
        <w:szCs w:val="26"/>
      </w:rPr>
      <w:t xml:space="preserve">MERIDIAN</w:t>
    </w:r>
    <w:r>
      <w:rPr>
        <w:rFonts w:ascii="Inter" w:cs="Inter" w:eastAsia="Inter" w:hAnsi="Inter"/>
        <w:b w:val="false"/>
        <w:bCs w:val="false"/>
        <w:color w:val="19416C"/>
        <w:sz w:val="26"/>
        <w:szCs w:val="26"/>
      </w:rPr>
      <w:t xml:space="preserve"> COMMERCE </w:t>
    </w:r>
    <w:r>
      <w:rPr>
        <w:rFonts w:ascii="Inter" w:cs="Inter" w:eastAsia="Inter" w:hAnsi="Inter"/>
        <w:b/>
        <w:bCs/>
        <w:color w:val="009845"/>
        <w:sz w:val="26"/>
        <w:szCs w:val="26"/>
      </w:rPr>
      <w:t xml:space="preserve">GROUP</w:t>
    </w:r>
  </w:p>
  <w:p>
    <w:pPr>
      <w:spacing w:after="0"/>
    </w:pPr>
    <w:r>
      <w:rPr>
        <w:rFonts w:ascii="Inter" w:cs="Inter" w:eastAsia="Inter" w:hAnsi="Inter"/>
        <w:i/>
        <w:iCs/>
        <w:color w:val="454659"/>
        <w:sz w:val="16"/>
        <w:szCs w:val="16"/>
      </w:rPr>
      <w:t xml:space="preserve">The neighborhood store with global reach</w:t>
    </w:r>
  </w:p>
  <w:p>
    <w:pPr>
      <w:pBdr>
        <w:bottom w:val="single" w:color="009845" w:sz="8" w:space="4"/>
      </w:pBdr>
      <w:spacing w:after="0"/>
    </w:pPr>
    <w:r>
      <w:rPr>
        <w:sz w:val="4"/>
        <w:szCs w:val="4"/>
      </w:rPr>
      <w:t xml:space="preserve"/>
    </w:r>
  </w:p>
  <w:p>
    <w:pPr>
      <w:spacing w:after="0" w:before="60"/>
      <w:jc w:val="right"/>
    </w:pPr>
    <w:r>
      <w:rPr>
        <w:rFonts w:ascii="Inter" w:cs="Inter" w:eastAsia="Inter" w:hAnsi="Inter"/>
        <w:b/>
        <w:bCs/>
        <w:caps/>
        <w:color w:val="009845"/>
        <w:sz w:val="18"/>
        <w:szCs w:val="18"/>
      </w:rPr>
      <w:t xml:space="preserve">DEMO SCRIPT — Module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cs="Inter" w:eastAsia="Inter" w:hAnsi="Inter"/>
        <w:color w:val="454659"/>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Inter" w:cs="Inter" w:eastAsia="Inter" w:hAnsi="Inter"/>
      <w:b/>
      <w:bCs/>
      <w:color w:val="19416C"/>
      <w:sz w:val="32"/>
      <w:szCs w:val="32"/>
    </w:rPr>
  </w:style>
  <w:style w:type="paragraph" w:styleId="Heading2">
    <w:name w:val="Heading 2"/>
    <w:basedOn w:val="Normal"/>
    <w:next w:val="Normal"/>
    <w:qFormat/>
    <w:pPr>
      <w:spacing w:after="160" w:before="300"/>
    </w:pPr>
    <w:rPr>
      <w:rFonts w:ascii="Inter" w:cs="Inter" w:eastAsia="Inter" w:hAnsi="Inter"/>
      <w:b/>
      <w:bCs/>
      <w:color w:val="006580"/>
      <w:sz w:val="26"/>
      <w:szCs w:val="26"/>
    </w:rPr>
  </w:style>
  <w:style w:type="paragraph" w:styleId="Heading3">
    <w:name w:val="Heading 3"/>
    <w:basedOn w:val="Normal"/>
    <w:next w:val="Normal"/>
    <w:qFormat/>
    <w:pPr>
      <w:spacing w:after="120" w:before="240"/>
    </w:pPr>
    <w:rPr>
      <w:rFonts w:ascii="Inter" w:cs="Inter" w:eastAsia="Inter" w:hAnsi="Inter"/>
      <w:b/>
      <w:bCs/>
      <w:color w:val="19416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head"/>
    <w:qFormat/>
    <w:rsid w:val="00437EFB"/>
    <w:rPr>
      <w:rFonts w:ascii="Inter" w:eastAsiaTheme="minorEastAsia" w:hAnsi="Inter"/>
      <w:color w:val="009845" w:themeColor="accent1"/>
    </w:rPr>
  </w:style>
  <w:style w:type="paragraph" w:styleId="Heading2">
    <w:name w:val="heading 2"/>
    <w:basedOn w:val="BodyP"/>
    <w:next w:val="Normal"/>
    <w:link w:val="Heading2Char"/>
    <w:uiPriority w:val="9"/>
    <w:unhideWhenUsed/>
    <w:qFormat/>
    <w:rsid w:val="00CF335B"/>
    <w:pPr>
      <w:spacing w:before="360" w:after="100" w:afterAutospacing="1" w:line="240" w:lineRule="auto"/>
      <w:outlineLvl w:val="1"/>
    </w:pPr>
    <w:rPr>
      <w:b/>
      <w:bCs/>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B41EC6"/>
    <w:pPr>
      <w:tabs>
        <w:tab w:val="right" w:pos="10080"/>
      </w:tabs>
      <w:suppressAutoHyphens/>
      <w:autoSpaceDE w:val="0"/>
      <w:autoSpaceDN w:val="0"/>
      <w:adjustRightInd w:val="0"/>
      <w:spacing w:before="240" w:line="276"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DF103C"/>
    <w:pPr>
      <w:suppressAutoHyphens/>
      <w:autoSpaceDE w:val="0"/>
      <w:autoSpaceDN w:val="0"/>
      <w:adjustRightInd w:val="0"/>
      <w:spacing w:before="200" w:after="240" w:line="360" w:lineRule="auto"/>
      <w:textAlignment w:val="center"/>
    </w:pPr>
    <w:rPr>
      <w:rFonts w:eastAsiaTheme="minorHAnsi" w:cs="Source Sans Pro"/>
      <w:color w:val="454659" w:themeColor="text1"/>
      <w:kern w:val="0"/>
      <w:sz w:val="21"/>
      <w:szCs w:val="21"/>
      <w14:ligatures w14:val="none"/>
    </w:rPr>
  </w:style>
  <w:style w:type="paragraph" w:customStyle="1" w:styleId="Bullets1">
    <w:name w:val="Bullets 1"/>
    <w:basedOn w:val="BodyP"/>
    <w:qFormat/>
    <w:rsid w:val="00DF103C"/>
    <w:pPr>
      <w:numPr>
        <w:numId w:val="1"/>
      </w:numPr>
      <w:spacing w:after="120"/>
    </w:pPr>
    <w:rPr>
      <w:szCs w:val="22"/>
    </w:rPr>
  </w:style>
  <w:style w:type="character" w:customStyle="1" w:styleId="normaltextrun">
    <w:name w:val="normaltextrun"/>
    <w:basedOn w:val="DefaultParagraphFont"/>
    <w:rsid w:val="00A72D33"/>
  </w:style>
  <w:style w:type="paragraph" w:customStyle="1" w:styleId="Intro">
    <w:name w:val="Intro"/>
    <w:basedOn w:val="Normal"/>
    <w:qFormat/>
    <w:rsid w:val="00DF103C"/>
    <w:pPr>
      <w:suppressAutoHyphens/>
      <w:autoSpaceDE w:val="0"/>
      <w:autoSpaceDN w:val="0"/>
      <w:adjustRightInd w:val="0"/>
      <w:spacing w:after="120" w:line="360" w:lineRule="auto"/>
      <w:textAlignment w:val="center"/>
    </w:pPr>
    <w:rPr>
      <w:rFonts w:eastAsiaTheme="minorHAnsi" w:cs="Times New Roman (Body CS)"/>
      <w:b/>
      <w:bCs/>
      <w:kern w:val="0"/>
      <w:sz w:val="36"/>
      <w:szCs w:val="36"/>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CF335B"/>
    <w:rPr>
      <w:rFonts w:ascii="Arial" w:hAnsi="Arial" w:cs="Source Sans Pro"/>
      <w:b/>
      <w:bCs/>
      <w:color w:val="FFFFFF" w:themeColor="background1"/>
      <w:kern w:val="0"/>
      <w:sz w:val="22"/>
      <w:szCs w:val="22"/>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character" w:styleId="Hyperlink">
    <w:name w:val="Hyperlink"/>
    <w:basedOn w:val="DefaultParagraphFont"/>
    <w:uiPriority w:val="99"/>
    <w:unhideWhenUsed/>
    <w:rsid w:val="001D12C4"/>
    <w:rPr>
      <w:color w:val="009845" w:themeColor="hyperlink"/>
      <w:u w:val="single"/>
    </w:rPr>
  </w:style>
  <w:style w:type="character" w:styleId="UnresolvedMention">
    <w:name w:val="Unresolved Mention"/>
    <w:basedOn w:val="DefaultParagraphFont"/>
    <w:uiPriority w:val="99"/>
    <w:semiHidden/>
    <w:unhideWhenUsed/>
    <w:rsid w:val="001D12C4"/>
    <w:rPr>
      <w:color w:val="605E5C"/>
      <w:shd w:val="clear" w:color="auto" w:fill="E1DFD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f9435ca988fd40276d8768db82a6e2917dd79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2026-06-12T20:04:48.774Z</dcterms:created>
  <dcterms:modified xsi:type="dcterms:W3CDTF">2026-06-12T20:04:48.774Z</dcterms:modified>
</cp:coreProperties>
</file>

<file path=docProps/custom.xml><?xml version="1.0" encoding="utf-8"?>
<Properties xmlns="http://schemas.openxmlformats.org/officeDocument/2006/custom-properties" xmlns:vt="http://schemas.openxmlformats.org/officeDocument/2006/docPropsVTypes"/>
</file>