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Bdr>
          <w:bottom w:val="single" w:color="006580" w:sz="2" w:space="4"/>
        </w:pBdr>
        <w:spacing w:after="160" w:before="360"/>
      </w:pPr>
      <w:r>
        <w:rPr>
          <w:rFonts w:ascii="Inter" w:cs="Inter" w:eastAsia="Inter" w:hAnsi="Inter"/>
          <w:b/>
          <w:bCs/>
          <w:color w:val="19416C"/>
          <w:sz w:val="30"/>
          <w:szCs w:val="30"/>
        </w:rPr>
        <w:t xml:space="preserve">Module 12: Qlik Application Automations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30%"/>
            <w:shd w:color="19416C" w:val="solid"/>
            <w:tcMar>
              <w:top w:type="dxa" w:w="40"/>
              <w:left w:type="dxa" w:w="100"/>
              <w:bottom w:type="dxa" w:w="40"/>
              <w:right w:type="dxa" w:w="100"/>
            </w:tcMar>
          </w:tcPr>
          <w:p>
            <w:pPr>
              <w:spacing w:after="0"/>
            </w:pPr>
            <w:r>
              <w:rPr>
                <w:rFonts w:ascii="Inter" w:cs="Inter" w:eastAsia="Inter" w:hAnsi="Inter"/>
                <w:b/>
                <w:bCs/>
                <w:color w:val="FFFFFF"/>
                <w:sz w:val="20"/>
                <w:szCs w:val="20"/>
              </w:rPr>
              <w:t xml:space="preserve">Duration</w:t>
            </w:r>
          </w:p>
        </w:tc>
        <w:tc>
          <w:tcPr>
            <w:tcW w:type="pct" w:w="70%"/>
            <w:shd w:color="F6F7F8" w:val="solid"/>
            <w:tcMar>
              <w:top w:type="dxa" w:w="40"/>
              <w:left w:type="dxa" w:w="100"/>
              <w:bottom w:type="dxa" w:w="40"/>
              <w:right w:type="dxa" w:w="100"/>
            </w:tcMar>
          </w:tcPr>
          <w:p>
            <w:pPr>
              <w:spacing w:after="0"/>
            </w:pPr>
            <w:r>
              <w:rPr>
                <w:rFonts w:ascii="Inter" w:cs="Inter" w:eastAsia="Inter" w:hAnsi="Inter"/>
                <w:color w:val="454659"/>
                <w:sz w:val="20"/>
                <w:szCs w:val="20"/>
              </w:rPr>
              <w:t xml:space="preserve">10-15 minutes</w:t>
            </w:r>
          </w:p>
        </w:tc>
      </w:tr>
      <w:tr>
        <w:tc>
          <w:tcPr>
            <w:tcW w:type="pct" w:w="30%"/>
            <w:shd w:color="19416C" w:val="solid"/>
            <w:tcMar>
              <w:top w:type="dxa" w:w="40"/>
              <w:left w:type="dxa" w:w="100"/>
              <w:bottom w:type="dxa" w:w="40"/>
              <w:right w:type="dxa" w:w="100"/>
            </w:tcMar>
          </w:tcPr>
          <w:p>
            <w:pPr>
              <w:spacing w:after="0"/>
            </w:pPr>
            <w:r>
              <w:rPr>
                <w:rFonts w:ascii="Inter" w:cs="Inter" w:eastAsia="Inter" w:hAnsi="Inter"/>
                <w:b/>
                <w:bCs/>
                <w:color w:val="FFFFFF"/>
                <w:sz w:val="20"/>
                <w:szCs w:val="20"/>
              </w:rPr>
              <w:t xml:space="preserve">Checklist Phase</w:t>
            </w:r>
          </w:p>
        </w:tc>
        <w:tc>
          <w:tcPr>
            <w:tcW w:type="pct" w:w="70%"/>
            <w:shd w:color="F6F7F8" w:val="solid"/>
            <w:tcMar>
              <w:top w:type="dxa" w:w="40"/>
              <w:left w:type="dxa" w:w="100"/>
              <w:bottom w:type="dxa" w:w="40"/>
              <w:right w:type="dxa" w:w="100"/>
            </w:tcMar>
          </w:tcPr>
          <w:p>
            <w:pPr>
              <w:spacing w:after="0"/>
            </w:pPr>
            <w:r>
              <w:rPr>
                <w:rFonts w:ascii="Inter" w:cs="Inter" w:eastAsia="Inter" w:hAnsi="Inter"/>
                <w:color w:val="454659"/>
                <w:sz w:val="20"/>
                <w:szCs w:val="20"/>
              </w:rPr>
              <w:t xml:space="preserve">Phase 10</w:t>
            </w:r>
          </w:p>
        </w:tc>
      </w:tr>
      <w:tr>
        <w:tc>
          <w:tcPr>
            <w:tcW w:type="pct" w:w="30%"/>
            <w:shd w:color="19416C" w:val="solid"/>
            <w:tcMar>
              <w:top w:type="dxa" w:w="40"/>
              <w:left w:type="dxa" w:w="100"/>
              <w:bottom w:type="dxa" w:w="40"/>
              <w:right w:type="dxa" w:w="100"/>
            </w:tcMar>
          </w:tcPr>
          <w:p>
            <w:pPr>
              <w:spacing w:after="0"/>
            </w:pPr>
            <w:r>
              <w:rPr>
                <w:rFonts w:ascii="Inter" w:cs="Inter" w:eastAsia="Inter" w:hAnsi="Inter"/>
                <w:b/>
                <w:bCs/>
                <w:color w:val="FFFFFF"/>
                <w:sz w:val="20"/>
                <w:szCs w:val="20"/>
              </w:rPr>
              <w:t xml:space="preserve">Nightmares</w:t>
            </w:r>
          </w:p>
        </w:tc>
        <w:tc>
          <w:tcPr>
            <w:tcW w:type="pct" w:w="70%"/>
            <w:shd w:color="F6F7F8" w:val="solid"/>
            <w:tcMar>
              <w:top w:type="dxa" w:w="40"/>
              <w:left w:type="dxa" w:w="100"/>
              <w:bottom w:type="dxa" w:w="40"/>
              <w:right w:type="dxa" w:w="100"/>
            </w:tcMar>
          </w:tcPr>
          <w:p>
            <w:pPr>
              <w:spacing w:after="0"/>
            </w:pPr>
            <w:r>
              <w:rPr>
                <w:rFonts w:ascii="Inter" w:cs="Inter" w:eastAsia="Inter" w:hAnsi="Inter"/>
                <w:color w:val="454659"/>
                <w:sz w:val="20"/>
                <w:szCs w:val="20"/>
              </w:rPr>
              <w:t xml:space="preserve">#4 (Silent Pipelines), #6 (Carrier Data Black Hole)</w:t>
            </w:r>
          </w:p>
        </w:tc>
      </w:tr>
      <w:tr>
        <w:tc>
          <w:tcPr>
            <w:tcW w:type="pct" w:w="30%"/>
            <w:shd w:color="19416C" w:val="solid"/>
            <w:tcMar>
              <w:top w:type="dxa" w:w="40"/>
              <w:left w:type="dxa" w:w="100"/>
              <w:bottom w:type="dxa" w:w="40"/>
              <w:right w:type="dxa" w:w="100"/>
            </w:tcMar>
          </w:tcPr>
          <w:p>
            <w:pPr>
              <w:spacing w:after="0"/>
            </w:pPr>
            <w:r>
              <w:rPr>
                <w:rFonts w:ascii="Inter" w:cs="Inter" w:eastAsia="Inter" w:hAnsi="Inter"/>
                <w:b/>
                <w:bCs/>
                <w:color w:val="FFFFFF"/>
                <w:sz w:val="20"/>
                <w:szCs w:val="20"/>
              </w:rPr>
              <w:t xml:space="preserve">Components</w:t>
            </w:r>
          </w:p>
        </w:tc>
        <w:tc>
          <w:tcPr>
            <w:tcW w:type="pct" w:w="70%"/>
            <w:shd w:color="F6F7F8" w:val="solid"/>
            <w:tcMar>
              <w:top w:type="dxa" w:w="40"/>
              <w:left w:type="dxa" w:w="100"/>
              <w:bottom w:type="dxa" w:w="40"/>
              <w:right w:type="dxa" w:w="100"/>
            </w:tcMar>
          </w:tcPr>
          <w:p>
            <w:pPr>
              <w:spacing w:after="0"/>
            </w:pPr>
            <w:r>
              <w:rPr>
                <w:rFonts w:ascii="Inter" w:cs="Inter" w:eastAsia="Inter" w:hAnsi="Inter"/>
                <w:color w:val="454659"/>
                <w:sz w:val="20"/>
                <w:szCs w:val="20"/>
              </w:rPr>
              <w:t xml:space="preserve">Qlik Application Automation, Microsoft Teams, Talend Job trigger</w:t>
            </w:r>
          </w:p>
        </w:tc>
      </w:tr>
    </w:tbl>
    <w:p>
      <w:pPr>
        <w:spacing w:after="120" w:before="280"/>
      </w:pPr>
      <w:r>
        <w:rPr>
          <w:rFonts w:ascii="Inter" w:cs="Inter" w:eastAsia="Inter" w:hAnsi="Inter"/>
          <w:b/>
          <w:bCs/>
          <w:color w:val="006580"/>
          <w:sz w:val="26"/>
          <w:szCs w:val="26"/>
        </w:rPr>
        <w:t xml:space="preserve">Overview</w:t>
      </w:r>
    </w:p>
    <w:p>
      <w:pPr>
        <w:spacing w:after="120"/>
        <w:jc w:val="left"/>
      </w:pPr>
      <w:r>
        <w:rPr>
          <w:rFonts w:ascii="Inter" w:cs="Inter" w:eastAsia="Inter" w:hAnsi="Inter"/>
          <w:b w:val="false"/>
          <w:bCs w:val="false"/>
          <w:i w:val="false"/>
          <w:iCs w:val="false"/>
          <w:color w:val="454659"/>
          <w:sz w:val="21"/>
          <w:szCs w:val="21"/>
        </w:rPr>
        <w:t xml:space="preserve">Automations close the loop between data quality detection and action. When a cold chain exceedance is detected, an alert fires to Teams. When a pipeline fails, the engineering team is notified. When a stewardship task is approved, a Talend job processes the correction. No manual intervention required.</w:t>
      </w:r>
    </w:p>
    <w:p>
      <w:pPr>
        <w:spacing w:after="120" w:before="280"/>
      </w:pPr>
      <w:r>
        <w:rPr>
          <w:rFonts w:ascii="Inter" w:cs="Inter" w:eastAsia="Inter" w:hAnsi="Inter"/>
          <w:b/>
          <w:bCs/>
          <w:color w:val="006580"/>
          <w:sz w:val="26"/>
          <w:szCs w:val="26"/>
        </w:rPr>
        <w:t xml:space="preserve">The 5 Automations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shd w:color="006580" w:val="solid"/>
            <w:tcMar>
              <w:top w:type="dxa" w:w="40"/>
              <w:left w:type="dxa" w:w="80"/>
              <w:bottom w:type="dxa" w:w="40"/>
              <w:right w:type="dxa" w:w="80"/>
            </w:tcMar>
          </w:tcPr>
          <w:p>
            <w:pPr>
              <w:spacing w:after="0"/>
            </w:pPr>
            <w:r>
              <w:rPr>
                <w:rFonts w:ascii="Inter" w:cs="Inter" w:eastAsia="Inter" w:hAnsi="Inter"/>
                <w:b/>
                <w:bCs/>
                <w:color w:val="FFFFFF"/>
                <w:sz w:val="19"/>
                <w:szCs w:val="19"/>
              </w:rPr>
              <w:t xml:space="preserve">Automation</w:t>
            </w:r>
          </w:p>
        </w:tc>
        <w:tc>
          <w:tcPr>
            <w:shd w:color="006580" w:val="solid"/>
            <w:tcMar>
              <w:top w:type="dxa" w:w="40"/>
              <w:left w:type="dxa" w:w="80"/>
              <w:bottom w:type="dxa" w:w="40"/>
              <w:right w:type="dxa" w:w="80"/>
            </w:tcMar>
          </w:tcPr>
          <w:p>
            <w:pPr>
              <w:spacing w:after="0"/>
            </w:pPr>
            <w:r>
              <w:rPr>
                <w:rFonts w:ascii="Inter" w:cs="Inter" w:eastAsia="Inter" w:hAnsi="Inter"/>
                <w:b/>
                <w:bCs/>
                <w:color w:val="FFFFFF"/>
                <w:sz w:val="19"/>
                <w:szCs w:val="19"/>
              </w:rPr>
              <w:t xml:space="preserve">Trigger</w:t>
            </w:r>
          </w:p>
        </w:tc>
        <w:tc>
          <w:tcPr>
            <w:shd w:color="006580" w:val="solid"/>
            <w:tcMar>
              <w:top w:type="dxa" w:w="40"/>
              <w:left w:type="dxa" w:w="80"/>
              <w:bottom w:type="dxa" w:w="40"/>
              <w:right w:type="dxa" w:w="80"/>
            </w:tcMar>
          </w:tcPr>
          <w:p>
            <w:pPr>
              <w:spacing w:after="0"/>
            </w:pPr>
            <w:r>
              <w:rPr>
                <w:rFonts w:ascii="Inter" w:cs="Inter" w:eastAsia="Inter" w:hAnsi="Inter"/>
                <w:b/>
                <w:bCs/>
                <w:color w:val="FFFFFF"/>
                <w:sz w:val="19"/>
                <w:szCs w:val="19"/>
              </w:rPr>
              <w:t xml:space="preserve">Action</w:t>
            </w:r>
          </w:p>
        </w:tc>
        <w:tc>
          <w:tcPr>
            <w:shd w:color="006580" w:val="solid"/>
            <w:tcMar>
              <w:top w:type="dxa" w:w="40"/>
              <w:left w:type="dxa" w:w="80"/>
              <w:bottom w:type="dxa" w:w="40"/>
              <w:right w:type="dxa" w:w="80"/>
            </w:tcMar>
          </w:tcPr>
          <w:p>
            <w:pPr>
              <w:spacing w:after="0"/>
            </w:pPr>
            <w:r>
              <w:rPr>
                <w:rFonts w:ascii="Inter" w:cs="Inter" w:eastAsia="Inter" w:hAnsi="Inter"/>
                <w:b/>
                <w:bCs/>
                <w:color w:val="FFFFFF"/>
                <w:sz w:val="19"/>
                <w:szCs w:val="19"/>
              </w:rPr>
              <w:t xml:space="preserve">Target</w:t>
            </w:r>
          </w:p>
        </w:tc>
      </w:tr>
      <w:tr>
        <w:tc>
          <w:tcPr>
            <w:shd w:color="F6F7F8" w:val="solid"/>
            <w:tcMar>
              <w:top w:type="dxa" w:w="30"/>
              <w:left w:type="dxa" w:w="80"/>
              <w:bottom w:type="dxa" w:w="30"/>
              <w:right w:type="dxa" w:w="80"/>
            </w:tcMar>
          </w:tcPr>
          <w:p>
            <w:pPr>
              <w:spacing w:after="0"/>
            </w:pPr>
            <w:r>
              <w:rPr>
                <w:rFonts w:ascii="Inter" w:cs="Inter" w:eastAsia="Inter" w:hAnsi="Inter"/>
                <w:color w:val="454659"/>
                <w:sz w:val="19"/>
                <w:szCs w:val="19"/>
              </w:rPr>
              <w:t xml:space="preserve">Daily App Reload</w:t>
            </w:r>
          </w:p>
        </w:tc>
        <w:tc>
          <w:tcPr>
            <w:shd w:color="F6F7F8" w:val="solid"/>
            <w:tcMar>
              <w:top w:type="dxa" w:w="30"/>
              <w:left w:type="dxa" w:w="80"/>
              <w:bottom w:type="dxa" w:w="30"/>
              <w:right w:type="dxa" w:w="80"/>
            </w:tcMar>
          </w:tcPr>
          <w:p>
            <w:pPr>
              <w:spacing w:after="0"/>
            </w:pPr>
            <w:r>
              <w:rPr>
                <w:rFonts w:ascii="Inter" w:cs="Inter" w:eastAsia="Inter" w:hAnsi="Inter"/>
                <w:color w:val="454659"/>
                <w:sz w:val="19"/>
                <w:szCs w:val="19"/>
              </w:rPr>
              <w:t xml:space="preserve">Schedule: 06:00 UTC</w:t>
            </w:r>
          </w:p>
        </w:tc>
        <w:tc>
          <w:tcPr>
            <w:shd w:color="F6F7F8" w:val="solid"/>
            <w:tcMar>
              <w:top w:type="dxa" w:w="30"/>
              <w:left w:type="dxa" w:w="80"/>
              <w:bottom w:type="dxa" w:w="30"/>
              <w:right w:type="dxa" w:w="80"/>
            </w:tcMar>
          </w:tcPr>
          <w:p>
            <w:pPr>
              <w:spacing w:after="0"/>
            </w:pPr>
            <w:r>
              <w:rPr>
                <w:rFonts w:ascii="Inter" w:cs="Inter" w:eastAsia="Inter" w:hAnsi="Inter"/>
                <w:color w:val="454659"/>
                <w:sz w:val="19"/>
                <w:szCs w:val="19"/>
              </w:rPr>
              <w:t xml:space="preserve">Reload both analytics apps</w:t>
            </w:r>
          </w:p>
        </w:tc>
        <w:tc>
          <w:tcPr>
            <w:shd w:color="F6F7F8" w:val="solid"/>
            <w:tcMar>
              <w:top w:type="dxa" w:w="30"/>
              <w:left w:type="dxa" w:w="80"/>
              <w:bottom w:type="dxa" w:w="30"/>
              <w:right w:type="dxa" w:w="80"/>
            </w:tcMar>
          </w:tcPr>
          <w:p>
            <w:pPr>
              <w:spacing w:after="0"/>
            </w:pPr>
            <w:r>
              <w:rPr>
                <w:rFonts w:ascii="Inter" w:cs="Inter" w:eastAsia="Inter" w:hAnsi="Inter"/>
                <w:color w:val="454659"/>
                <w:sz w:val="19"/>
                <w:szCs w:val="19"/>
              </w:rPr>
              <w:t xml:space="preserve">Qlik Analytics</w:t>
            </w:r>
          </w:p>
        </w:tc>
      </w:tr>
      <w:tr>
        <w:tc>
          <w:tcPr>
            <w:tcMar>
              <w:top w:type="dxa" w:w="30"/>
              <w:left w:type="dxa" w:w="80"/>
              <w:bottom w:type="dxa" w:w="30"/>
              <w:right w:type="dxa" w:w="80"/>
            </w:tcMar>
          </w:tcPr>
          <w:p>
            <w:pPr>
              <w:spacing w:after="0"/>
            </w:pPr>
            <w:r>
              <w:rPr>
                <w:rFonts w:ascii="Inter" w:cs="Inter" w:eastAsia="Inter" w:hAnsi="Inter"/>
                <w:color w:val="454659"/>
                <w:sz w:val="19"/>
                <w:szCs w:val="19"/>
              </w:rPr>
              <w:t xml:space="preserve">Cold Chain Alert</w:t>
            </w:r>
          </w:p>
        </w:tc>
        <w:tc>
          <w:tcPr>
            <w:tcMar>
              <w:top w:type="dxa" w:w="30"/>
              <w:left w:type="dxa" w:w="80"/>
              <w:bottom w:type="dxa" w:w="30"/>
              <w:right w:type="dxa" w:w="80"/>
            </w:tcMar>
          </w:tcPr>
          <w:p>
            <w:pPr>
              <w:spacing w:after="0"/>
            </w:pPr>
            <w:r>
              <w:rPr>
                <w:rFonts w:ascii="Inter" w:cs="Inter" w:eastAsia="Inter" w:hAnsi="Inter"/>
                <w:color w:val="454659"/>
                <w:sz w:val="19"/>
                <w:szCs w:val="19"/>
              </w:rPr>
              <w:t xml:space="preserve">Every 5 min: temp &gt; 8 C for 15+ min</w:t>
            </w:r>
          </w:p>
        </w:tc>
        <w:tc>
          <w:tcPr>
            <w:tcMar>
              <w:top w:type="dxa" w:w="30"/>
              <w:left w:type="dxa" w:w="80"/>
              <w:bottom w:type="dxa" w:w="30"/>
              <w:right w:type="dxa" w:w="80"/>
            </w:tcMar>
          </w:tcPr>
          <w:p>
            <w:pPr>
              <w:spacing w:after="0"/>
            </w:pPr>
            <w:r>
              <w:rPr>
                <w:rFonts w:ascii="Inter" w:cs="Inter" w:eastAsia="Inter" w:hAnsi="Inter"/>
                <w:color w:val="454659"/>
                <w:sz w:val="19"/>
                <w:szCs w:val="19"/>
              </w:rPr>
              <w:t xml:space="preserve">Post Adaptive Card to Teams</w:t>
            </w:r>
          </w:p>
        </w:tc>
        <w:tc>
          <w:tcPr>
            <w:tcMar>
              <w:top w:type="dxa" w:w="30"/>
              <w:left w:type="dxa" w:w="80"/>
              <w:bottom w:type="dxa" w:w="30"/>
              <w:right w:type="dxa" w:w="80"/>
            </w:tcMar>
          </w:tcPr>
          <w:p>
            <w:pPr>
              <w:spacing w:after="0"/>
            </w:pPr>
            <w:r>
              <w:rPr>
                <w:rFonts w:ascii="Inter" w:cs="Inter" w:eastAsia="Inter" w:hAnsi="Inter"/>
                <w:color w:val="454659"/>
                <w:sz w:val="19"/>
                <w:szCs w:val="19"/>
              </w:rPr>
              <w:t xml:space="preserve">#mcg-cold-chain-alerts</w:t>
            </w:r>
          </w:p>
        </w:tc>
      </w:tr>
      <w:tr>
        <w:tc>
          <w:tcPr>
            <w:shd w:color="F6F7F8" w:val="solid"/>
            <w:tcMar>
              <w:top w:type="dxa" w:w="30"/>
              <w:left w:type="dxa" w:w="80"/>
              <w:bottom w:type="dxa" w:w="30"/>
              <w:right w:type="dxa" w:w="80"/>
            </w:tcMar>
          </w:tcPr>
          <w:p>
            <w:pPr>
              <w:spacing w:after="0"/>
            </w:pPr>
            <w:r>
              <w:rPr>
                <w:rFonts w:ascii="Inter" w:cs="Inter" w:eastAsia="Inter" w:hAnsi="Inter"/>
                <w:color w:val="454659"/>
                <w:sz w:val="19"/>
                <w:szCs w:val="19"/>
              </w:rPr>
              <w:t xml:space="preserve">Pipeline Health Summary</w:t>
            </w:r>
          </w:p>
        </w:tc>
        <w:tc>
          <w:tcPr>
            <w:shd w:color="F6F7F8" w:val="solid"/>
            <w:tcMar>
              <w:top w:type="dxa" w:w="30"/>
              <w:left w:type="dxa" w:w="80"/>
              <w:bottom w:type="dxa" w:w="30"/>
              <w:right w:type="dxa" w:w="80"/>
            </w:tcMar>
          </w:tcPr>
          <w:p>
            <w:pPr>
              <w:spacing w:after="0"/>
            </w:pPr>
            <w:r>
              <w:rPr>
                <w:rFonts w:ascii="Inter" w:cs="Inter" w:eastAsia="Inter" w:hAnsi="Inter"/>
                <w:color w:val="454659"/>
                <w:sz w:val="19"/>
                <w:szCs w:val="19"/>
              </w:rPr>
              <w:t xml:space="preserve">Schedule: 07:00 UTC daily</w:t>
            </w:r>
          </w:p>
        </w:tc>
        <w:tc>
          <w:tcPr>
            <w:shd w:color="F6F7F8" w:val="solid"/>
            <w:tcMar>
              <w:top w:type="dxa" w:w="30"/>
              <w:left w:type="dxa" w:w="80"/>
              <w:bottom w:type="dxa" w:w="30"/>
              <w:right w:type="dxa" w:w="80"/>
            </w:tcMar>
          </w:tcPr>
          <w:p>
            <w:pPr>
              <w:spacing w:after="0"/>
            </w:pPr>
            <w:r>
              <w:rPr>
                <w:rFonts w:ascii="Inter" w:cs="Inter" w:eastAsia="Inter" w:hAnsi="Inter"/>
                <w:color w:val="454659"/>
                <w:sz w:val="19"/>
                <w:szCs w:val="19"/>
              </w:rPr>
              <w:t xml:space="preserve">Post health summary to Teams</w:t>
            </w:r>
          </w:p>
        </w:tc>
        <w:tc>
          <w:tcPr>
            <w:shd w:color="F6F7F8" w:val="solid"/>
            <w:tcMar>
              <w:top w:type="dxa" w:w="30"/>
              <w:left w:type="dxa" w:w="80"/>
              <w:bottom w:type="dxa" w:w="30"/>
              <w:right w:type="dxa" w:w="80"/>
            </w:tcMar>
          </w:tcPr>
          <w:p>
            <w:pPr>
              <w:spacing w:after="0"/>
            </w:pPr>
            <w:r>
              <w:rPr>
                <w:rFonts w:ascii="Inter" w:cs="Inter" w:eastAsia="Inter" w:hAnsi="Inter"/>
                <w:color w:val="454659"/>
                <w:sz w:val="19"/>
                <w:szCs w:val="19"/>
              </w:rPr>
              <w:t xml:space="preserve">#mcg-data-engineering</w:t>
            </w:r>
          </w:p>
        </w:tc>
      </w:tr>
      <w:tr>
        <w:tc>
          <w:tcPr>
            <w:tcMar>
              <w:top w:type="dxa" w:w="30"/>
              <w:left w:type="dxa" w:w="80"/>
              <w:bottom w:type="dxa" w:w="30"/>
              <w:right w:type="dxa" w:w="80"/>
            </w:tcMar>
          </w:tcPr>
          <w:p>
            <w:pPr>
              <w:spacing w:after="0"/>
            </w:pPr>
            <w:r>
              <w:rPr>
                <w:rFonts w:ascii="Inter" w:cs="Inter" w:eastAsia="Inter" w:hAnsi="Inter"/>
                <w:color w:val="454659"/>
                <w:sz w:val="19"/>
                <w:szCs w:val="19"/>
              </w:rPr>
              <w:t xml:space="preserve">WISMO Rate Alert</w:t>
            </w:r>
          </w:p>
        </w:tc>
        <w:tc>
          <w:tcPr>
            <w:tcMar>
              <w:top w:type="dxa" w:w="30"/>
              <w:left w:type="dxa" w:w="80"/>
              <w:bottom w:type="dxa" w:w="30"/>
              <w:right w:type="dxa" w:w="80"/>
            </w:tcMar>
          </w:tcPr>
          <w:p>
            <w:pPr>
              <w:spacing w:after="0"/>
            </w:pPr>
            <w:r>
              <w:rPr>
                <w:rFonts w:ascii="Inter" w:cs="Inter" w:eastAsia="Inter" w:hAnsi="Inter"/>
                <w:color w:val="454659"/>
                <w:sz w:val="19"/>
                <w:szCs w:val="19"/>
              </w:rPr>
              <w:t xml:space="preserve">WISMO rate &gt; 40% for any carrier</w:t>
            </w:r>
          </w:p>
        </w:tc>
        <w:tc>
          <w:tcPr>
            <w:tcMar>
              <w:top w:type="dxa" w:w="30"/>
              <w:left w:type="dxa" w:w="80"/>
              <w:bottom w:type="dxa" w:w="30"/>
              <w:right w:type="dxa" w:w="80"/>
            </w:tcMar>
          </w:tcPr>
          <w:p>
            <w:pPr>
              <w:spacing w:after="0"/>
            </w:pPr>
            <w:r>
              <w:rPr>
                <w:rFonts w:ascii="Inter" w:cs="Inter" w:eastAsia="Inter" w:hAnsi="Inter"/>
                <w:color w:val="454659"/>
                <w:sz w:val="19"/>
                <w:szCs w:val="19"/>
              </w:rPr>
              <w:t xml:space="preserve">Post alert to Teams</w:t>
            </w:r>
          </w:p>
        </w:tc>
        <w:tc>
          <w:tcPr>
            <w:tcMar>
              <w:top w:type="dxa" w:w="30"/>
              <w:left w:type="dxa" w:w="80"/>
              <w:bottom w:type="dxa" w:w="30"/>
              <w:right w:type="dxa" w:w="80"/>
            </w:tcMar>
          </w:tcPr>
          <w:p>
            <w:pPr>
              <w:spacing w:after="0"/>
            </w:pPr>
            <w:r>
              <w:rPr>
                <w:rFonts w:ascii="Inter" w:cs="Inter" w:eastAsia="Inter" w:hAnsi="Inter"/>
                <w:color w:val="454659"/>
                <w:sz w:val="19"/>
                <w:szCs w:val="19"/>
              </w:rPr>
              <w:t xml:space="preserve">#mcg-customer-ops</w:t>
            </w:r>
          </w:p>
        </w:tc>
      </w:tr>
      <w:tr>
        <w:tc>
          <w:tcPr>
            <w:shd w:color="F6F7F8" w:val="solid"/>
            <w:tcMar>
              <w:top w:type="dxa" w:w="30"/>
              <w:left w:type="dxa" w:w="80"/>
              <w:bottom w:type="dxa" w:w="30"/>
              <w:right w:type="dxa" w:w="80"/>
            </w:tcMar>
          </w:tcPr>
          <w:p>
            <w:pPr>
              <w:spacing w:after="0"/>
            </w:pPr>
            <w:r>
              <w:rPr>
                <w:rFonts w:ascii="Inter" w:cs="Inter" w:eastAsia="Inter" w:hAnsi="Inter"/>
                <w:color w:val="454659"/>
                <w:sz w:val="19"/>
                <w:szCs w:val="19"/>
              </w:rPr>
              <w:t xml:space="preserve">Address Correction</w:t>
            </w:r>
          </w:p>
        </w:tc>
        <w:tc>
          <w:tcPr>
            <w:shd w:color="F6F7F8" w:val="solid"/>
            <w:tcMar>
              <w:top w:type="dxa" w:w="30"/>
              <w:left w:type="dxa" w:w="80"/>
              <w:bottom w:type="dxa" w:w="30"/>
              <w:right w:type="dxa" w:w="80"/>
            </w:tcMar>
          </w:tcPr>
          <w:p>
            <w:pPr>
              <w:spacing w:after="0"/>
            </w:pPr>
            <w:r>
              <w:rPr>
                <w:rFonts w:ascii="Inter" w:cs="Inter" w:eastAsia="Inter" w:hAnsi="Inter"/>
                <w:color w:val="454659"/>
                <w:sz w:val="19"/>
                <w:szCs w:val="19"/>
              </w:rPr>
              <w:t xml:space="preserve">Stewardship task approved</w:t>
            </w:r>
          </w:p>
        </w:tc>
        <w:tc>
          <w:tcPr>
            <w:shd w:color="F6F7F8" w:val="solid"/>
            <w:tcMar>
              <w:top w:type="dxa" w:w="30"/>
              <w:left w:type="dxa" w:w="80"/>
              <w:bottom w:type="dxa" w:w="30"/>
              <w:right w:type="dxa" w:w="80"/>
            </w:tcMar>
          </w:tcPr>
          <w:p>
            <w:pPr>
              <w:spacing w:after="0"/>
            </w:pPr>
            <w:r>
              <w:rPr>
                <w:rFonts w:ascii="Inter" w:cs="Inter" w:eastAsia="Inter" w:hAnsi="Inter"/>
                <w:color w:val="454659"/>
                <w:sz w:val="19"/>
                <w:szCs w:val="19"/>
              </w:rPr>
              <w:t xml:space="preserve">Run Talend Address Validation Job</w:t>
            </w:r>
          </w:p>
        </w:tc>
        <w:tc>
          <w:tcPr>
            <w:shd w:color="F6F7F8" w:val="solid"/>
            <w:tcMar>
              <w:top w:type="dxa" w:w="30"/>
              <w:left w:type="dxa" w:w="80"/>
              <w:bottom w:type="dxa" w:w="30"/>
              <w:right w:type="dxa" w:w="80"/>
            </w:tcMar>
          </w:tcPr>
          <w:p>
            <w:pPr>
              <w:spacing w:after="0"/>
            </w:pPr>
            <w:r>
              <w:rPr>
                <w:rFonts w:ascii="Inter" w:cs="Inter" w:eastAsia="Inter" w:hAnsi="Inter"/>
                <w:color w:val="454659"/>
                <w:sz w:val="19"/>
                <w:szCs w:val="19"/>
              </w:rPr>
              <w:t xml:space="preserve">Silver Lakehouse table</w:t>
            </w:r>
          </w:p>
        </w:tc>
      </w:tr>
    </w:tbl>
    <w:p>
      <w:pPr>
        <w:spacing w:after="120" w:before="280"/>
      </w:pPr>
      <w:r>
        <w:rPr>
          <w:rFonts w:ascii="Inter" w:cs="Inter" w:eastAsia="Inter" w:hAnsi="Inter"/>
          <w:b/>
          <w:bCs/>
          <w:color w:val="006580"/>
          <w:sz w:val="26"/>
          <w:szCs w:val="26"/>
        </w:rPr>
        <w:t xml:space="preserve">Demo Methodology: Tell → Show → Tell</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2%"/>
            <w:tcBorders>
              <w:top w:val="none"/>
              <w:left w:val="none"/>
              <w:bottom w:val="none"/>
              <w:right w:val="none"/>
            </w:tcBorders>
            <w:shd w:color="19416C" w:val="solid"/>
          </w:tcPr>
          <w:p>
            <w:pPr>
              <w:spacing w:after="0"/>
            </w:pPr>
            <w:r>
              <w:rPr>
                <w:sz w:val="10"/>
                <w:szCs w:val="10"/>
              </w:rPr>
              <w:t xml:space="preserve"> </w:t>
            </w:r>
          </w:p>
        </w:tc>
        <w:tc>
          <w:tcPr>
            <w:tcW w:type="pct" w:w="98%"/>
            <w:shd w:color="E3EAF3" w:val="solid"/>
            <w:tcMar>
              <w:top w:type="dxa" w:w="60"/>
              <w:left w:type="dxa" w:w="120"/>
              <w:bottom w:type="dxa" w:w="60"/>
              <w:right w:type="dxa" w:w="120"/>
            </w:tcMar>
          </w:tcPr>
          <w:p>
            <w:pPr>
              <w:spacing w:after="40"/>
            </w:pPr>
            <w:r>
              <w:rPr>
                <w:rFonts w:ascii="Inter" w:cs="Inter" w:eastAsia="Inter" w:hAnsi="Inter"/>
                <w:b/>
                <w:bCs/>
                <w:color w:val="19416C"/>
                <w:sz w:val="18"/>
                <w:szCs w:val="18"/>
              </w:rPr>
              <w:t xml:space="preserve">Limbic Opening  (Problem/Consequence)</w:t>
            </w:r>
          </w:p>
          <w:p>
            <w:pPr>
              <w:spacing w:after="0"/>
            </w:pPr>
            <w:r>
              <w:rPr>
                <w:rFonts w:ascii="Inter" w:cs="Inter" w:eastAsia="Inter" w:hAnsi="Inter"/>
                <w:i/>
                <w:iCs/>
                <w:color w:val="454659"/>
                <w:sz w:val="20"/>
                <w:szCs w:val="20"/>
              </w:rPr>
              <w:t xml:space="preserve">The São Paulo spoilage cost $2.48M, but the real failure wasn't the temperature — it was the response time. The IoT system detected the exceedance. But the alert went to an email inbox nobody checks on weekends. By Monday, the product was in stores. Automation ensures the right action happens immediately, every time, without a human remembering to check.</w:t>
            </w:r>
          </w:p>
        </w:tc>
      </w:tr>
    </w:tbl>
    <w:p>
      <w:pPr>
        <w:spacing w:after="80" w:before="80"/>
      </w:pPr>
      <w:r>
        <w:rPr>
          <w:rFonts w:ascii="Inter" w:cs="Inter" w:eastAsia="Inter" w:hAnsi="Inter"/>
          <w:b/>
          <w:bCs/>
          <w:color w:val="10CFC9"/>
          <w:sz w:val="20"/>
          <w:szCs w:val="20"/>
        </w:rPr>
        <w:t xml:space="preserve">Ask the audience: </w:t>
      </w:r>
      <w:r>
        <w:rPr>
          <w:rFonts w:ascii="Inter" w:cs="Inter" w:eastAsia="Inter" w:hAnsi="Inter"/>
          <w:i/>
          <w:iCs/>
          <w:color w:val="454659"/>
          <w:sz w:val="20"/>
          <w:szCs w:val="20"/>
        </w:rPr>
        <w:t xml:space="preserve">"When a critical operational event happens, how many manual steps are between detection and action in your current process?"</w:t>
      </w:r>
    </w:p>
    <w:p>
      <w:pPr>
        <w:spacing w:after="120" w:before="280"/>
      </w:pPr>
      <w:r>
        <w:rPr>
          <w:rFonts w:ascii="Inter" w:cs="Inter" w:eastAsia="Inter" w:hAnsi="Inter"/>
          <w:b/>
          <w:bCs/>
          <w:color w:val="006580"/>
          <w:sz w:val="26"/>
          <w:szCs w:val="26"/>
        </w:rPr>
        <w:t xml:space="preserve">Demo Walk-Through</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pct" w:w="100%"/>
            <w:tcBorders>
              <w:top w:val="single" w:color="006580" w:sz="1"/>
              <w:left w:val="single" w:color="006580" w:sz="6"/>
              <w:bottom w:val="single" w:color="006580" w:sz="1"/>
              <w:right w:val="none"/>
            </w:tcBorders>
            <w:shd w:color="E0F2F5" w:val="solid"/>
            <w:tcMar>
              <w:top w:type="dxa" w:w="40"/>
              <w:left w:type="dxa" w:w="120"/>
              <w:bottom w:type="dxa" w:w="40"/>
              <w:right w:type="dxa" w:w="120"/>
            </w:tcMar>
          </w:tcPr>
          <w:p>
            <w:pPr>
              <w:spacing w:after="30"/>
            </w:pPr>
            <w:r>
              <w:rPr>
                <w:rFonts w:ascii="Inter" w:cs="Inter" w:eastAsia="Inter" w:hAnsi="Inter"/>
                <w:b/>
                <w:bCs/>
                <w:color w:val="006580"/>
                <w:sz w:val="16"/>
                <w:szCs w:val="16"/>
              </w:rPr>
              <w:t xml:space="preserve">TELL (before showing)</w:t>
            </w:r>
          </w:p>
          <w:p>
            <w:pPr>
              <w:spacing w:after="0"/>
            </w:pPr>
            <w:r>
              <w:rPr>
                <w:rFonts w:ascii="Inter" w:cs="Inter" w:eastAsia="Inter" w:hAnsi="Inter"/>
                <w:i/>
                <w:iCs/>
                <w:color w:val="454659"/>
                <w:sz w:val="18"/>
                <w:szCs w:val="18"/>
              </w:rPr>
              <w:t xml:space="preserve">I'll walk through 5 no-code automations that close the loop between detection and action. The cold chain alert is the flagship: when temperature exceeds threshold, a Teams message with full context goes to the right team within 5 minutes. No email, no manual check, no weekend gaps.</w:t>
            </w:r>
          </w:p>
        </w:tc>
      </w:tr>
    </w:tbl>
    <w:p>
      <w:pPr>
        <w:spacing w:after="100" w:before="200"/>
      </w:pPr>
      <w:r>
        <w:rPr>
          <w:rFonts w:ascii="Inter" w:cs="Inter" w:eastAsia="Inter" w:hAnsi="Inter"/>
          <w:b/>
          <w:bCs/>
          <w:color w:val="19416C"/>
          <w:sz w:val="22"/>
          <w:szCs w:val="22"/>
        </w:rPr>
        <w:t xml:space="preserve">Cold Chain Alert (Primary Demo)</w:t>
      </w:r>
    </w:p>
    <w:p>
      <w:pPr>
        <w:spacing w:after="80"/>
        <w:ind w:left="431"/>
      </w:pPr>
      <w:r>
        <w:rPr>
          <w:rFonts w:ascii="Inter" w:cs="Inter" w:eastAsia="Inter" w:hAnsi="Inter"/>
          <w:b/>
          <w:bCs/>
          <w:color w:val="006580"/>
          <w:sz w:val="21"/>
          <w:szCs w:val="21"/>
        </w:rPr>
        <w:t xml:space="preserve">1. </w:t>
      </w:r>
      <w:r>
        <w:rPr>
          <w:rFonts w:ascii="Inter" w:cs="Inter" w:eastAsia="Inter" w:hAnsi="Inter"/>
          <w:b w:val="false"/>
          <w:bCs w:val="false"/>
          <w:color w:val="454659"/>
          <w:sz w:val="21"/>
          <w:szCs w:val="21"/>
        </w:rPr>
        <w:t xml:space="preserve">Navigate to Automations &gt; MCG Cold Chain Alert &gt; Edit</w:t>
      </w:r>
    </w:p>
    <w:p>
      <w:pPr>
        <w:spacing w:after="80"/>
        <w:ind w:left="431"/>
      </w:pPr>
      <w:r>
        <w:rPr>
          <w:rFonts w:ascii="Inter" w:cs="Inter" w:eastAsia="Inter" w:hAnsi="Inter"/>
          <w:b/>
          <w:bCs/>
          <w:color w:val="006580"/>
          <w:sz w:val="21"/>
          <w:szCs w:val="21"/>
        </w:rPr>
        <w:t xml:space="preserve">2. </w:t>
      </w:r>
      <w:r>
        <w:rPr>
          <w:rFonts w:ascii="Inter" w:cs="Inter" w:eastAsia="Inter" w:hAnsi="Inter"/>
          <w:b w:val="false"/>
          <w:bCs w:val="false"/>
          <w:color w:val="454659"/>
          <w:sz w:val="21"/>
          <w:szCs w:val="21"/>
        </w:rPr>
        <w:t xml:space="preserve">Walk through the 5 automation blocks:</w:t>
      </w:r>
    </w:p>
    <w:p>
      <w:pPr>
        <w:spacing w:after="120"/>
        <w:ind w:left="431"/>
        <w:jc w:val="left"/>
      </w:pPr>
      <w:r>
        <w:rPr>
          <w:rFonts w:ascii="Inter" w:cs="Inter" w:eastAsia="Inter" w:hAnsi="Inter"/>
          <w:b w:val="false"/>
          <w:bCs w:val="false"/>
          <w:i w:val="false"/>
          <w:iCs w:val="false"/>
          <w:color w:val="454659"/>
          <w:sz w:val="21"/>
          <w:szCs w:val="21"/>
        </w:rPr>
        <w:t xml:space="preserve">  Block 1: Query silver.iot_normalized for unalerted exceedances</w:t>
      </w:r>
    </w:p>
    <w:p>
      <w:pPr>
        <w:spacing w:after="120"/>
        <w:ind w:left="431"/>
        <w:jc w:val="left"/>
      </w:pPr>
      <w:r>
        <w:rPr>
          <w:rFonts w:ascii="Inter" w:cs="Inter" w:eastAsia="Inter" w:hAnsi="Inter"/>
          <w:b w:val="false"/>
          <w:bCs w:val="false"/>
          <w:i w:val="false"/>
          <w:iCs w:val="false"/>
          <w:color w:val="454659"/>
          <w:sz w:val="21"/>
          <w:szCs w:val="21"/>
        </w:rPr>
        <w:t xml:space="preserve">  Block 2: Condition check — any results?</w:t>
      </w:r>
    </w:p>
    <w:p>
      <w:pPr>
        <w:spacing w:after="120"/>
        <w:ind w:left="431"/>
        <w:jc w:val="left"/>
      </w:pPr>
      <w:r>
        <w:rPr>
          <w:rFonts w:ascii="Inter" w:cs="Inter" w:eastAsia="Inter" w:hAnsi="Inter"/>
          <w:b w:val="false"/>
          <w:bCs w:val="false"/>
          <w:i w:val="false"/>
          <w:iCs w:val="false"/>
          <w:color w:val="454659"/>
          <w:sz w:val="21"/>
          <w:szCs w:val="21"/>
        </w:rPr>
        <w:t xml:space="preserve">  Block 3: Loop over each exceedance record</w:t>
      </w:r>
    </w:p>
    <w:p>
      <w:pPr>
        <w:spacing w:after="120"/>
        <w:ind w:left="431"/>
        <w:jc w:val="left"/>
      </w:pPr>
      <w:r>
        <w:rPr>
          <w:rFonts w:ascii="Inter" w:cs="Inter" w:eastAsia="Inter" w:hAnsi="Inter"/>
          <w:b w:val="false"/>
          <w:bCs w:val="false"/>
          <w:i w:val="false"/>
          <w:iCs w:val="false"/>
          <w:color w:val="454659"/>
          <w:sz w:val="21"/>
          <w:szCs w:val="21"/>
        </w:rPr>
        <w:t xml:space="preserve">  Block 4: Post Adaptive Card to Teams channel</w:t>
      </w:r>
    </w:p>
    <w:p>
      <w:pPr>
        <w:spacing w:after="120"/>
        <w:ind w:left="431"/>
        <w:jc w:val="left"/>
      </w:pPr>
      <w:r>
        <w:rPr>
          <w:rFonts w:ascii="Inter" w:cs="Inter" w:eastAsia="Inter" w:hAnsi="Inter"/>
          <w:b w:val="false"/>
          <w:bCs w:val="false"/>
          <w:i w:val="false"/>
          <w:iCs w:val="false"/>
          <w:color w:val="454659"/>
          <w:sz w:val="21"/>
          <w:szCs w:val="21"/>
        </w:rPr>
        <w:t xml:space="preserve">  Block 5: Update alert_sent flag to prevent duplicates</w:t>
      </w:r>
    </w:p>
    <w:p>
      <w:pPr>
        <w:spacing w:after="80"/>
        <w:ind w:left="431"/>
      </w:pPr>
      <w:r>
        <w:rPr>
          <w:rFonts w:ascii="Inter" w:cs="Inter" w:eastAsia="Inter" w:hAnsi="Inter"/>
          <w:b/>
          <w:bCs/>
          <w:color w:val="006580"/>
          <w:sz w:val="21"/>
          <w:szCs w:val="21"/>
        </w:rPr>
        <w:t xml:space="preserve">3. </w:t>
      </w:r>
      <w:r>
        <w:rPr>
          <w:rFonts w:ascii="Inter" w:cs="Inter" w:eastAsia="Inter" w:hAnsi="Inter"/>
          <w:b w:val="false"/>
          <w:bCs w:val="false"/>
          <w:color w:val="454659"/>
          <w:sz w:val="21"/>
          <w:szCs w:val="21"/>
        </w:rPr>
        <w:t xml:space="preserve">Show the Adaptive Card template: shipment ID, carrier, route, temperature, estimated loss</w:t>
      </w:r>
    </w:p>
    <w:p>
      <w:pPr>
        <w:spacing w:after="80"/>
        <w:ind w:left="431"/>
      </w:pPr>
      <w:r>
        <w:rPr>
          <w:rFonts w:ascii="Inter" w:cs="Inter" w:eastAsia="Inter" w:hAnsi="Inter"/>
          <w:b/>
          <w:bCs/>
          <w:color w:val="006580"/>
          <w:sz w:val="21"/>
          <w:szCs w:val="21"/>
        </w:rPr>
        <w:t xml:space="preserve">4. </w:t>
      </w:r>
      <w:r>
        <w:rPr>
          <w:rFonts w:ascii="Inter" w:cs="Inter" w:eastAsia="Inter" w:hAnsi="Inter"/>
          <w:b w:val="false"/>
          <w:bCs w:val="false"/>
          <w:color w:val="454659"/>
          <w:sz w:val="21"/>
          <w:szCs w:val="21"/>
        </w:rPr>
        <w:t xml:space="preserve">Click 'Run Now' to test</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2%"/>
            <w:tcBorders>
              <w:top w:val="none"/>
              <w:left w:val="none"/>
              <w:bottom w:val="none"/>
              <w:right w:val="none"/>
            </w:tcBorders>
            <w:shd w:color="009845" w:val="solid"/>
          </w:tcPr>
          <w:p>
            <w:pPr>
              <w:spacing w:after="0"/>
            </w:pPr>
            <w:r>
              <w:rPr>
                <w:sz w:val="10"/>
                <w:szCs w:val="10"/>
              </w:rPr>
              <w:t xml:space="preserve"> </w:t>
            </w:r>
          </w:p>
        </w:tc>
        <w:tc>
          <w:tcPr>
            <w:tcW w:type="pct" w:w="98%"/>
            <w:shd w:color="E0F5EA" w:val="solid"/>
            <w:tcMar>
              <w:top w:type="dxa" w:w="60"/>
              <w:left w:type="dxa" w:w="120"/>
              <w:bottom w:type="dxa" w:w="60"/>
              <w:right w:type="dxa" w:w="120"/>
            </w:tcMar>
          </w:tcPr>
          <w:p>
            <w:pPr>
              <w:spacing w:after="40"/>
            </w:pPr>
            <w:r>
              <w:rPr>
                <w:rFonts w:ascii="Inter" w:cs="Inter" w:eastAsia="Inter" w:hAnsi="Inter"/>
                <w:b/>
                <w:bCs/>
                <w:color w:val="009845"/>
                <w:sz w:val="18"/>
                <w:szCs w:val="18"/>
              </w:rPr>
              <w:t xml:space="preserve">Expected Response</w:t>
            </w:r>
          </w:p>
          <w:p>
            <w:pPr>
              <w:spacing w:after="0"/>
            </w:pPr>
            <w:r>
              <w:rPr>
                <w:rFonts w:ascii="Inter" w:cs="Inter" w:eastAsia="Inter" w:hAnsi="Inter"/>
                <w:color w:val="454659"/>
                <w:sz w:val="20"/>
                <w:szCs w:val="20"/>
              </w:rPr>
              <w:t xml:space="preserve">Teams channel receives an Adaptive Card showing a temperature exceedance with shipment details, estimated $ exposure, and links to the Qlik Analytics dashboard and SOP document.</w:t>
            </w:r>
          </w:p>
        </w:tc>
      </w:tr>
    </w:tbl>
    <w:p>
      <w:pPr>
        <w:spacing w:after="100" w:before="200"/>
      </w:pPr>
      <w:r>
        <w:rPr>
          <w:rFonts w:ascii="Inter" w:cs="Inter" w:eastAsia="Inter" w:hAnsi="Inter"/>
          <w:b/>
          <w:bCs/>
          <w:color w:val="19416C"/>
          <w:sz w:val="22"/>
          <w:szCs w:val="22"/>
        </w:rPr>
        <w:t xml:space="preserve">Address Correction Loop (Advanced)</w:t>
      </w:r>
    </w:p>
    <w:p>
      <w:pPr>
        <w:spacing w:after="80"/>
        <w:ind w:left="431"/>
      </w:pPr>
      <w:r>
        <w:rPr>
          <w:rFonts w:ascii="Inter" w:cs="Inter" w:eastAsia="Inter" w:hAnsi="Inter"/>
          <w:b/>
          <w:bCs/>
          <w:color w:val="006580"/>
          <w:sz w:val="21"/>
          <w:szCs w:val="21"/>
        </w:rPr>
        <w:t xml:space="preserve">1. </w:t>
      </w:r>
      <w:r>
        <w:rPr>
          <w:rFonts w:ascii="Inter" w:cs="Inter" w:eastAsia="Inter" w:hAnsi="Inter"/>
          <w:b w:val="false"/>
          <w:bCs w:val="false"/>
          <w:color w:val="454659"/>
          <w:sz w:val="21"/>
          <w:szCs w:val="21"/>
        </w:rPr>
        <w:t xml:space="preserve">Show the Stewardship-to-Talend-to-Lakehouse loop:</w:t>
      </w:r>
    </w:p>
    <w:p>
      <w:pPr>
        <w:spacing w:after="120"/>
        <w:ind w:left="431"/>
        <w:jc w:val="left"/>
      </w:pPr>
      <w:r>
        <w:rPr>
          <w:rFonts w:ascii="Inter" w:cs="Inter" w:eastAsia="Inter" w:hAnsi="Inter"/>
          <w:b w:val="false"/>
          <w:bCs w:val="false"/>
          <w:i w:val="false"/>
          <w:iCs w:val="false"/>
          <w:color w:val="454659"/>
          <w:sz w:val="21"/>
          <w:szCs w:val="21"/>
        </w:rPr>
        <w:t xml:space="preserve">  Steward approves address merge in campaign &gt; Automation triggers &gt; Talend Job runs address validation &gt; Corrected record written to silver.addresses_standardized &gt; Gold tables refresh &gt; Predict model improves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1%"/>
            <w:tcBorders>
              <w:top w:val="none"/>
              <w:left w:val="none"/>
              <w:bottom w:val="none"/>
              <w:right w:val="none"/>
            </w:tcBorders>
            <w:shd w:color="006580" w:val="solid"/>
          </w:tcPr>
          <w:p>
            <w:pPr>
              <w:spacing w:after="0"/>
            </w:pPr>
            <w:r>
              <w:rPr>
                <w:sz w:val="10"/>
                <w:szCs w:val="10"/>
              </w:rPr>
              <w:t xml:space="preserve"> </w:t>
            </w:r>
          </w:p>
        </w:tc>
        <w:tc>
          <w:tcPr>
            <w:tcW w:type="pct" w:w="99%"/>
            <w:shd w:color="F6F7F8" w:val="solid"/>
            <w:tcMar>
              <w:top w:type="dxa" w:w="80"/>
              <w:left w:type="dxa" w:w="120"/>
              <w:bottom w:type="dxa" w:w="80"/>
              <w:right w:type="dxa" w:w="120"/>
            </w:tcMar>
          </w:tcPr>
          <w:p>
            <w:pPr>
              <w:spacing w:after="0"/>
            </w:pPr>
            <w:r>
              <w:rPr>
                <w:rFonts w:ascii="Inter" w:cs="Inter" w:eastAsia="Inter" w:hAnsi="Inter"/>
                <w:color w:val="454659"/>
                <w:sz w:val="20"/>
                <w:szCs w:val="20"/>
              </w:rPr>
              <w:t xml:space="preserve">Talking point: This is the closed-loop data quality cycle. Detection (profiling) &gt; Notification (alert) &gt; Review (stewardship) &gt; Correction (Talend job) &gt; Validation (Trust Score). Fully automated except the human judgment step.</w:t>
            </w:r>
          </w:p>
        </w:tc>
      </w:tr>
    </w:tbl>
    <w:p>
      <w:pPr>
        <w:spacing w:after="120" w:before="280"/>
      </w:pPr>
      <w:r>
        <w:rPr>
          <w:rFonts w:ascii="Inter" w:cs="Inter" w:eastAsia="Inter" w:hAnsi="Inter"/>
          <w:b/>
          <w:bCs/>
          <w:color w:val="006580"/>
          <w:sz w:val="26"/>
          <w:szCs w:val="26"/>
        </w:rPr>
        <w:t xml:space="preserve">Talking Points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pct" w:w="100%"/>
            <w:tcBorders>
              <w:top w:val="single" w:color="009845" w:sz="1"/>
              <w:left w:val="single" w:color="009845" w:sz="6"/>
              <w:bottom w:val="single" w:color="009845" w:sz="1"/>
              <w:right w:val="none"/>
            </w:tcBorders>
            <w:shd w:color="E0F5EA" w:val="solid"/>
            <w:tcMar>
              <w:top w:type="dxa" w:w="40"/>
              <w:left w:type="dxa" w:w="120"/>
              <w:bottom w:type="dxa" w:w="40"/>
              <w:right w:type="dxa" w:w="120"/>
            </w:tcMar>
          </w:tcPr>
          <w:p>
            <w:pPr>
              <w:spacing w:after="30"/>
            </w:pPr>
            <w:r>
              <w:rPr>
                <w:rFonts w:ascii="Inter" w:cs="Inter" w:eastAsia="Inter" w:hAnsi="Inter"/>
                <w:b/>
                <w:bCs/>
                <w:color w:val="009845"/>
                <w:sz w:val="16"/>
                <w:szCs w:val="16"/>
              </w:rPr>
              <w:t xml:space="preserve">TELL (after showing)</w:t>
            </w:r>
          </w:p>
          <w:p>
            <w:pPr>
              <w:spacing w:after="0"/>
            </w:pPr>
            <w:r>
              <w:rPr>
                <w:rFonts w:ascii="Inter" w:cs="Inter" w:eastAsia="Inter" w:hAnsi="Inter"/>
                <w:i/>
                <w:iCs/>
                <w:color w:val="454659"/>
                <w:sz w:val="18"/>
                <w:szCs w:val="18"/>
              </w:rPr>
              <w:t xml:space="preserve">Five automations, zero code, complete closed-loop action. The cold chain alert alone would have prevented the $2.48M TransFrio spoilage. The address correction automation feeds Stewardship decisions back into the Lakehouse automatically. This is how you turn insights into outcomes.</w:t>
            </w:r>
          </w:p>
        </w:tc>
      </w:tr>
    </w:tbl>
    <w:p>
      <w:pPr>
        <w:spacing w:after="100" w:before="60"/>
      </w:pPr>
      <w:r>
        <w:rPr>
          <w:rFonts w:ascii="Inter" w:cs="Inter" w:eastAsia="Inter" w:hAnsi="Inter"/>
          <w:color w:val="454659"/>
          <w:sz w:val="20"/>
          <w:szCs w:val="20"/>
        </w:rPr>
        <w:t xml:space="preserve">Automate the response to critical operational events</w:t>
      </w:r>
      <w:r>
        <w:rPr>
          <w:rFonts w:ascii="Inter" w:cs="Inter" w:eastAsia="Inter" w:hAnsi="Inter"/>
          <w:b/>
          <w:bCs/>
          <w:color w:val="009845"/>
          <w:sz w:val="20"/>
          <w:szCs w:val="20"/>
        </w:rPr>
        <w:t xml:space="preserve">  →  so you can  </w:t>
      </w:r>
      <w:r>
        <w:rPr>
          <w:rFonts w:ascii="Inter" w:cs="Inter" w:eastAsia="Inter" w:hAnsi="Inter"/>
          <w:color w:val="454659"/>
          <w:sz w:val="20"/>
          <w:szCs w:val="20"/>
        </w:rPr>
        <w:t xml:space="preserve">eliminate the gap between detection and action</w:t>
      </w:r>
      <w:r>
        <w:rPr>
          <w:rFonts w:ascii="Inter" w:cs="Inter" w:eastAsia="Inter" w:hAnsi="Inter"/>
          <w:b/>
          <w:bCs/>
          <w:color w:val="009845"/>
          <w:sz w:val="20"/>
          <w:szCs w:val="20"/>
        </w:rPr>
        <w:t xml:space="preserve">  →  so you can  </w:t>
      </w:r>
      <w:r>
        <w:rPr>
          <w:rFonts w:ascii="Inter" w:cs="Inter" w:eastAsia="Inter" w:hAnsi="Inter"/>
          <w:color w:val="454659"/>
          <w:sz w:val="20"/>
          <w:szCs w:val="20"/>
        </w:rPr>
        <w:t xml:space="preserve">save $2.48M by catching cold chain issues on Day 1 instead of Day 7</w:t>
      </w:r>
    </w:p>
    <w:p>
      <w:pPr>
        <w:pStyle w:val="ListParagraph"/>
        <w:numPr>
          <w:ilvl w:val="0"/>
          <w:numId w:val="1"/>
        </w:numPr>
        <w:spacing w:after="120"/>
        <w:jc w:val="left"/>
      </w:pPr>
      <w:r>
        <w:rPr>
          <w:rFonts w:ascii="Inter" w:cs="Inter" w:eastAsia="Inter" w:hAnsi="Inter"/>
          <w:b w:val="false"/>
          <w:bCs w:val="false"/>
          <w:i w:val="false"/>
          <w:iCs w:val="false"/>
          <w:color w:val="19416C"/>
          <w:sz w:val="21"/>
          <w:szCs w:val="21"/>
        </w:rPr>
        <w:t xml:space="preserve">Automations turn insights into action — the cold chain alert would have caught TransFrio on Day 1</w:t>
      </w:r>
    </w:p>
    <w:p>
      <w:pPr>
        <w:pStyle w:val="ListParagraph"/>
        <w:numPr>
          <w:ilvl w:val="0"/>
          <w:numId w:val="1"/>
        </w:numPr>
        <w:spacing w:after="120"/>
        <w:jc w:val="left"/>
      </w:pPr>
      <w:r>
        <w:rPr>
          <w:rFonts w:ascii="Inter" w:cs="Inter" w:eastAsia="Inter" w:hAnsi="Inter"/>
          <w:b w:val="false"/>
          <w:bCs w:val="false"/>
          <w:i w:val="false"/>
          <w:iCs w:val="false"/>
          <w:color w:val="19416C"/>
          <w:sz w:val="21"/>
          <w:szCs w:val="21"/>
        </w:rPr>
        <w:t xml:space="preserve">Block-based builder requires no code — business users can create automations</w:t>
      </w:r>
    </w:p>
    <w:p>
      <w:pPr>
        <w:pStyle w:val="ListParagraph"/>
        <w:numPr>
          <w:ilvl w:val="0"/>
          <w:numId w:val="1"/>
        </w:numPr>
        <w:spacing w:after="120"/>
        <w:jc w:val="left"/>
      </w:pPr>
      <w:r>
        <w:rPr>
          <w:rFonts w:ascii="Inter" w:cs="Inter" w:eastAsia="Inter" w:hAnsi="Inter"/>
          <w:b w:val="false"/>
          <w:bCs w:val="false"/>
          <w:i w:val="false"/>
          <w:iCs w:val="false"/>
          <w:color w:val="19416C"/>
          <w:sz w:val="21"/>
          <w:szCs w:val="21"/>
        </w:rPr>
        <w:t xml:space="preserve">The address correction loop is unique: Stewardship &gt; Talend &gt; Lakehouse &gt; Gold &gt; Predict</w:t>
      </w:r>
    </w:p>
    <w:p>
      <w:pPr>
        <w:pStyle w:val="ListParagraph"/>
        <w:numPr>
          <w:ilvl w:val="0"/>
          <w:numId w:val="1"/>
        </w:numPr>
        <w:spacing w:after="120"/>
        <w:jc w:val="left"/>
      </w:pPr>
      <w:r>
        <w:rPr>
          <w:rFonts w:ascii="Inter" w:cs="Inter" w:eastAsia="Inter" w:hAnsi="Inter"/>
          <w:b w:val="false"/>
          <w:bCs w:val="false"/>
          <w:i w:val="false"/>
          <w:iCs w:val="false"/>
          <w:color w:val="19416C"/>
          <w:sz w:val="21"/>
          <w:szCs w:val="21"/>
        </w:rPr>
        <w:t xml:space="preserve">Pipeline health summary gives engineering a daily digest — no more silent failures</w:t>
      </w:r>
    </w:p>
    <w:sectPr>
      <w:headerReference w:type="default" r:id="rId7"/>
      <w:footerReference w:type="default" r:id="rId8"/>
      <w:pgSz w:w="11906" w:h="16838" w:orient="portrait"/>
      <w:pgMar w:top="1727" w:right="1440" w:bottom="1152"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009845" w:sz="4" w:space="4"/>
      </w:pBdr>
      <w:spacing w:before="0"/>
    </w:pPr>
    <w:r>
      <w:rPr>
        <w:sz w:val="4"/>
        <w:szCs w:val="4"/>
      </w:rPr>
      <w:t xml:space="preserve"/>
    </w:r>
  </w:p>
  <w:p>
    <w:pPr>
      <w:spacing w:after="0" w:before="0"/>
      <w:jc w:val="center"/>
    </w:pPr>
    <w:r>
      <w:rPr>
        <w:rFonts w:ascii="Inter" w:cs="Inter" w:eastAsia="Inter" w:hAnsi="Inter"/>
        <w:color w:val="454659"/>
        <w:sz w:val="14"/>
        <w:szCs w:val="14"/>
      </w:rPr>
      <w:t xml:space="preserve">Meridian Commerce Group  •  </w:t>
    </w:r>
    <w:r>
      <w:rPr>
        <w:rFonts w:ascii="Inter" w:cs="Inter" w:eastAsia="Inter" w:hAnsi="Inter"/>
        <w:color w:val="454659"/>
        <w:sz w:val="14"/>
        <w:szCs w:val="14"/>
      </w:rPr>
      <w:t xml:space="preserve">Weena 505, 3013 AL Rotterdam, Netherlands</w:t>
    </w:r>
  </w:p>
  <w:p>
    <w:pPr>
      <w:spacing w:after="0" w:before="0"/>
      <w:jc w:val="center"/>
    </w:pPr>
    <w:r>
      <w:rPr>
        <w:rFonts w:ascii="Inter" w:cs="Inter" w:eastAsia="Inter" w:hAnsi="Inter"/>
        <w:color w:val="454659"/>
        <w:sz w:val="14"/>
        <w:szCs w:val="14"/>
      </w:rPr>
      <w:t xml:space="preserve">+31 10 798 4000  •  www.meridiancommerce.com  •  info@meridiancommerce.com</w:t>
    </w:r>
  </w:p>
  <w:p>
    <w:pPr>
      <w:spacing w:after="0" w:before="40"/>
      <w:jc w:val="center"/>
    </w:pPr>
    <w:r>
      <w:rPr>
        <w:rFonts w:ascii="Inter" w:cs="Inter" w:eastAsia="Inter" w:hAnsi="Inter"/>
        <w:b/>
        <w:bCs/>
        <w:color w:val="009845"/>
        <w:sz w:val="13"/>
        <w:szCs w:val="13"/>
      </w:rPr>
      <w:t xml:space="preserve">CONFIDENTIAL — </w:t>
    </w:r>
    <w:r>
      <w:rPr>
        <w:rFonts w:ascii="Inter" w:cs="Inter" w:eastAsia="Inter" w:hAnsi="Inter"/>
        <w:color w:val="454659"/>
        <w:sz w:val="13"/>
        <w:szCs w:val="13"/>
      </w:rPr>
      <w:t xml:space="preserve">Page </w:t>
    </w:r>
    <w:r>
      <w:rPr>
        <w:rFonts w:ascii="Inter" w:cs="Inter" w:eastAsia="Inter" w:hAnsi="Inter"/>
        <w:color w:val="454659"/>
        <w:sz w:val="13"/>
        <w:szCs w:val="13"/>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0"/>
    </w:pPr>
    <w:r>
      <w:drawing>
        <wp:inline distT="0" distB="0" distL="0" distR="0">
          <wp:extent cx="762000" cy="3333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0" cstate="none"/>
                  <a:srcRect/>
                  <a:stretch>
                    <a:fillRect/>
                  </a:stretch>
                </pic:blipFill>
                <pic:spPr bwMode="auto">
                  <a:xfrm>
                    <a:off x="0" y="0"/>
                    <a:ext cx="762000" cy="333375"/>
                  </a:xfrm>
                  <a:prstGeom prst="rect">
                    <a:avLst/>
                  </a:prstGeom>
                </pic:spPr>
              </pic:pic>
            </a:graphicData>
          </a:graphic>
        </wp:inline>
      </w:drawing>
    </w:r>
    <w:r>
      <w:rPr>
        <w:rFonts w:ascii="Inter" w:cs="Inter" w:eastAsia="Inter" w:hAnsi="Inter"/>
        <w:sz w:val="20"/>
        <w:szCs w:val="20"/>
      </w:rPr>
      <w:t xml:space="preserve">   </w:t>
    </w:r>
    <w:r>
      <w:rPr>
        <w:rFonts w:ascii="Inter" w:cs="Inter" w:eastAsia="Inter" w:hAnsi="Inter"/>
        <w:b/>
        <w:bCs/>
        <w:color w:val="19416C"/>
        <w:sz w:val="26"/>
        <w:szCs w:val="26"/>
      </w:rPr>
      <w:t xml:space="preserve">MERIDIAN</w:t>
    </w:r>
    <w:r>
      <w:rPr>
        <w:rFonts w:ascii="Inter" w:cs="Inter" w:eastAsia="Inter" w:hAnsi="Inter"/>
        <w:b w:val="false"/>
        <w:bCs w:val="false"/>
        <w:color w:val="19416C"/>
        <w:sz w:val="26"/>
        <w:szCs w:val="26"/>
      </w:rPr>
      <w:t xml:space="preserve"> COMMERCE </w:t>
    </w:r>
    <w:r>
      <w:rPr>
        <w:rFonts w:ascii="Inter" w:cs="Inter" w:eastAsia="Inter" w:hAnsi="Inter"/>
        <w:b/>
        <w:bCs/>
        <w:color w:val="009845"/>
        <w:sz w:val="26"/>
        <w:szCs w:val="26"/>
      </w:rPr>
      <w:t xml:space="preserve">GROUP</w:t>
    </w:r>
  </w:p>
  <w:p>
    <w:pPr>
      <w:spacing w:after="0"/>
    </w:pPr>
    <w:r>
      <w:rPr>
        <w:rFonts w:ascii="Inter" w:cs="Inter" w:eastAsia="Inter" w:hAnsi="Inter"/>
        <w:i/>
        <w:iCs/>
        <w:color w:val="454659"/>
        <w:sz w:val="16"/>
        <w:szCs w:val="16"/>
      </w:rPr>
      <w:t xml:space="preserve">The neighborhood store with global reach</w:t>
    </w:r>
  </w:p>
  <w:p>
    <w:pPr>
      <w:pBdr>
        <w:bottom w:val="single" w:color="009845" w:sz="8" w:space="4"/>
      </w:pBdr>
      <w:spacing w:after="0"/>
    </w:pPr>
    <w:r>
      <w:rPr>
        <w:sz w:val="4"/>
        <w:szCs w:val="4"/>
      </w:rPr>
      <w:t xml:space="preserve"/>
    </w:r>
  </w:p>
  <w:p>
    <w:pPr>
      <w:spacing w:after="0" w:before="60"/>
      <w:jc w:val="right"/>
    </w:pPr>
    <w:r>
      <w:rPr>
        <w:rFonts w:ascii="Inter" w:cs="Inter" w:eastAsia="Inter" w:hAnsi="Inter"/>
        <w:b/>
        <w:bCs/>
        <w:caps/>
        <w:color w:val="009845"/>
        <w:sz w:val="18"/>
        <w:szCs w:val="18"/>
      </w:rPr>
      <w:t xml:space="preserve">DEMO SCRIPT — Module 12</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Inter" w:cs="Inter" w:eastAsia="Inter" w:hAnsi="Inter"/>
        <w:color w:val="454659"/>
        <w:sz w:val="22"/>
        <w:szCs w:val="22"/>
      </w:rPr>
    </w:rPrDefault>
    <w:pPrDefault>
      <w:pPr>
        <w:spacing w:after="120" w:line="276"/>
      </w:pPr>
    </w:pPrDefault>
  </w:docDefaults>
  <w:style w:type="paragraph" w:styleId="Title">
    <w:name w:val="Title"/>
    <w:basedOn w:val="Normal"/>
    <w:next w:val="Normal"/>
    <w:qFormat/>
    <w:rPr>
      <w:sz w:val="56"/>
      <w:szCs w:val="56"/>
    </w:rPr>
  </w:style>
  <w:style w:type="paragraph" w:styleId="Heading1">
    <w:name w:val="Heading 1"/>
    <w:basedOn w:val="Normal"/>
    <w:next w:val="Normal"/>
    <w:qFormat/>
    <w:pPr>
      <w:spacing w:after="200" w:before="360"/>
    </w:pPr>
    <w:rPr>
      <w:rFonts w:ascii="Inter" w:cs="Inter" w:eastAsia="Inter" w:hAnsi="Inter"/>
      <w:b/>
      <w:bCs/>
      <w:color w:val="19416C"/>
      <w:sz w:val="32"/>
      <w:szCs w:val="32"/>
    </w:rPr>
  </w:style>
  <w:style w:type="paragraph" w:styleId="Heading2">
    <w:name w:val="Heading 2"/>
    <w:basedOn w:val="Normal"/>
    <w:next w:val="Normal"/>
    <w:qFormat/>
    <w:pPr>
      <w:spacing w:after="160" w:before="300"/>
    </w:pPr>
    <w:rPr>
      <w:rFonts w:ascii="Inter" w:cs="Inter" w:eastAsia="Inter" w:hAnsi="Inter"/>
      <w:b/>
      <w:bCs/>
      <w:color w:val="006580"/>
      <w:sz w:val="26"/>
      <w:szCs w:val="26"/>
    </w:rPr>
  </w:style>
  <w:style w:type="paragraph" w:styleId="Heading3">
    <w:name w:val="Heading 3"/>
    <w:basedOn w:val="Normal"/>
    <w:next w:val="Normal"/>
    <w:qFormat/>
    <w:pPr>
      <w:spacing w:after="120" w:before="240"/>
    </w:pPr>
    <w:rPr>
      <w:rFonts w:ascii="Inter" w:cs="Inter" w:eastAsia="Inter" w:hAnsi="Inter"/>
      <w:b/>
      <w:bCs/>
      <w:color w:val="19416C"/>
      <w:sz w:val="22"/>
      <w:szCs w:val="22"/>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docDefaults>
    <w:rPrDefault>
      <w:rPr>
        <w:rFonts w:asciiTheme="minorHAnsi" w:eastAsiaTheme="minorHAnsi" w:hAnsiTheme="minorHAnsi" w:cstheme="minorBidi"/>
        <w:kern w:val="2"/>
        <w:sz w:val="24"/>
        <w:szCs w:val="24"/>
        <w:lang w:val="en-US"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Subhead"/>
    <w:qFormat/>
    <w:rsid w:val="00437EFB"/>
    <w:rPr>
      <w:rFonts w:ascii="Inter" w:eastAsiaTheme="minorEastAsia" w:hAnsi="Inter"/>
      <w:color w:val="009845" w:themeColor="accent1"/>
    </w:rPr>
  </w:style>
  <w:style w:type="paragraph" w:styleId="Heading2">
    <w:name w:val="heading 2"/>
    <w:basedOn w:val="BodyP"/>
    <w:next w:val="Normal"/>
    <w:link w:val="Heading2Char"/>
    <w:uiPriority w:val="9"/>
    <w:unhideWhenUsed/>
    <w:qFormat/>
    <w:rsid w:val="00CF335B"/>
    <w:pPr>
      <w:spacing w:before="360" w:after="100" w:afterAutospacing="1" w:line="240" w:lineRule="auto"/>
      <w:outlineLvl w:val="1"/>
    </w:pPr>
    <w:rPr>
      <w:b/>
      <w:bCs/>
      <w:color w:val="FFFFFF" w:themeColor="background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4135D2"/>
    <w:pPr>
      <w:tabs>
        <w:tab w:val="center" w:pos="4680"/>
        <w:tab w:val="right" w:pos="9360"/>
      </w:tabs>
    </w:pPr>
  </w:style>
  <w:style w:type="character" w:customStyle="1" w:styleId="HeaderChar">
    <w:name w:val="Header Char"/>
    <w:basedOn w:val="DefaultParagraphFont"/>
    <w:link w:val="Header"/>
    <w:uiPriority w:val="99"/>
    <w:rsid w:val="004135D2"/>
    <w:rPr>
      <w:rFonts w:eastAsiaTheme="minorEastAsia"/>
    </w:rPr>
  </w:style>
  <w:style w:type="paragraph" w:styleId="Footer">
    <w:name w:val="footer"/>
    <w:basedOn w:val="Normal"/>
    <w:link w:val="FooterChar"/>
    <w:uiPriority w:val="99"/>
    <w:unhideWhenUsed/>
    <w:rsid w:val="004135D2"/>
    <w:pPr>
      <w:tabs>
        <w:tab w:val="center" w:pos="4680"/>
        <w:tab w:val="right" w:pos="9360"/>
      </w:tabs>
    </w:pPr>
  </w:style>
  <w:style w:type="character" w:customStyle="1" w:styleId="FooterChar">
    <w:name w:val="Footer Char"/>
    <w:basedOn w:val="DefaultParagraphFont"/>
    <w:link w:val="Footer"/>
    <w:uiPriority w:val="99"/>
    <w:rsid w:val="004135D2"/>
    <w:rPr>
      <w:rFonts w:eastAsiaTheme="minorEastAsia"/>
    </w:rPr>
  </w:style>
  <w:style w:type="paragraph" w:customStyle="1" w:styleId="Sectiontype">
    <w:name w:val="Section type"/>
    <w:basedOn w:val="Normal"/>
    <w:qFormat/>
    <w:rsid w:val="00E52BED"/>
    <w:pPr>
      <w:tabs>
        <w:tab w:val="right" w:pos="10080"/>
      </w:tabs>
      <w:suppressAutoHyphens/>
      <w:autoSpaceDE w:val="0"/>
      <w:autoSpaceDN w:val="0"/>
      <w:adjustRightInd w:val="0"/>
      <w:spacing w:before="600" w:after="240" w:line="480" w:lineRule="auto"/>
      <w:textAlignment w:val="center"/>
    </w:pPr>
    <w:rPr>
      <w:rFonts w:ascii="Arial" w:eastAsiaTheme="minorHAnsi" w:hAnsi="Arial" w:cs="Source Sans Pro Light"/>
      <w:b/>
      <w:noProof/>
      <w:color w:val="FFFFFF" w:themeColor="background1"/>
      <w:spacing w:val="40"/>
      <w:kern w:val="0"/>
      <w:sz w:val="20"/>
      <w:szCs w:val="20"/>
      <w14:ligatures w14:val="none"/>
    </w:rPr>
  </w:style>
  <w:style w:type="paragraph" w:styleId="TOC1">
    <w:name w:val="toc 1"/>
    <w:basedOn w:val="Normal"/>
    <w:next w:val="Normal"/>
    <w:autoRedefine/>
    <w:uiPriority w:val="39"/>
    <w:unhideWhenUsed/>
    <w:rsid w:val="00B41EC6"/>
    <w:pPr>
      <w:tabs>
        <w:tab w:val="right" w:pos="10080"/>
      </w:tabs>
      <w:suppressAutoHyphens/>
      <w:autoSpaceDE w:val="0"/>
      <w:autoSpaceDN w:val="0"/>
      <w:adjustRightInd w:val="0"/>
      <w:spacing w:before="240" w:line="276" w:lineRule="auto"/>
      <w:textAlignment w:val="center"/>
    </w:pPr>
    <w:rPr>
      <w:rFonts w:eastAsiaTheme="minorHAnsi" w:cs="Source Sans Pro Light"/>
      <w:color w:val="54565A"/>
      <w:kern w:val="0"/>
      <w:sz w:val="28"/>
      <w:szCs w:val="36"/>
      <w:u w:val="single"/>
      <w14:ligatures w14:val="none"/>
    </w:rPr>
  </w:style>
  <w:style w:type="character" w:styleId="PageNumber">
    <w:name w:val="page number"/>
    <w:basedOn w:val="DefaultParagraphFont"/>
    <w:uiPriority w:val="99"/>
    <w:semiHidden/>
    <w:unhideWhenUsed/>
    <w:rsid w:val="00003DD4"/>
  </w:style>
  <w:style w:type="paragraph" w:customStyle="1" w:styleId="BodyP">
    <w:name w:val="Body P"/>
    <w:basedOn w:val="Normal"/>
    <w:qFormat/>
    <w:rsid w:val="00DF103C"/>
    <w:pPr>
      <w:suppressAutoHyphens/>
      <w:autoSpaceDE w:val="0"/>
      <w:autoSpaceDN w:val="0"/>
      <w:adjustRightInd w:val="0"/>
      <w:spacing w:before="200" w:after="240" w:line="360" w:lineRule="auto"/>
      <w:textAlignment w:val="center"/>
    </w:pPr>
    <w:rPr>
      <w:rFonts w:eastAsiaTheme="minorHAnsi" w:cs="Source Sans Pro"/>
      <w:color w:val="454659" w:themeColor="text1"/>
      <w:kern w:val="0"/>
      <w:sz w:val="21"/>
      <w:szCs w:val="21"/>
      <w14:ligatures w14:val="none"/>
    </w:rPr>
  </w:style>
  <w:style w:type="paragraph" w:customStyle="1" w:styleId="Bullets1">
    <w:name w:val="Bullets 1"/>
    <w:basedOn w:val="BodyP"/>
    <w:qFormat/>
    <w:rsid w:val="00DF103C"/>
    <w:pPr>
      <w:numPr>
        <w:numId w:val="1"/>
      </w:numPr>
      <w:spacing w:after="120"/>
    </w:pPr>
    <w:rPr>
      <w:szCs w:val="22"/>
    </w:rPr>
  </w:style>
  <w:style w:type="character" w:customStyle="1" w:styleId="normaltextrun">
    <w:name w:val="normaltextrun"/>
    <w:basedOn w:val="DefaultParagraphFont"/>
    <w:rsid w:val="00A72D33"/>
  </w:style>
  <w:style w:type="paragraph" w:customStyle="1" w:styleId="Intro">
    <w:name w:val="Intro"/>
    <w:basedOn w:val="Normal"/>
    <w:qFormat/>
    <w:rsid w:val="00DF103C"/>
    <w:pPr>
      <w:suppressAutoHyphens/>
      <w:autoSpaceDE w:val="0"/>
      <w:autoSpaceDN w:val="0"/>
      <w:adjustRightInd w:val="0"/>
      <w:spacing w:after="120" w:line="360" w:lineRule="auto"/>
      <w:textAlignment w:val="center"/>
    </w:pPr>
    <w:rPr>
      <w:rFonts w:eastAsiaTheme="minorHAnsi" w:cs="Times New Roman (Body CS)"/>
      <w:b/>
      <w:bCs/>
      <w:kern w:val="0"/>
      <w:sz w:val="36"/>
      <w:szCs w:val="36"/>
      <w14:ligatures w14:val="none"/>
    </w:rPr>
  </w:style>
  <w:style w:type="paragraph" w:styleId="ListParagraph">
    <w:name w:val="List Paragraph"/>
    <w:basedOn w:val="Normal"/>
    <w:uiPriority w:val="34"/>
    <w:qFormat/>
    <w:rsid w:val="00703498"/>
    <w:pPr>
      <w:ind w:left="720"/>
      <w:contextualSpacing/>
    </w:pPr>
  </w:style>
  <w:style w:type="table" w:styleId="TableGrid">
    <w:name w:val="Table Grid"/>
    <w:basedOn w:val="TableNormal"/>
    <w:uiPriority w:val="59"/>
    <w:rsid w:val="007E4CE3"/>
    <w:rPr>
      <w:kern w:val="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spacer">
    <w:name w:val="spacer"/>
    <w:basedOn w:val="Normal"/>
    <w:uiPriority w:val="99"/>
    <w:qFormat/>
    <w:rsid w:val="007E4CE3"/>
    <w:pPr>
      <w:tabs>
        <w:tab w:val="center" w:pos="4680"/>
        <w:tab w:val="right" w:pos="9360"/>
      </w:tabs>
    </w:pPr>
    <w:rPr>
      <w:rFonts w:eastAsiaTheme="minorHAnsi"/>
      <w:color w:val="454659" w:themeColor="text1"/>
      <w:kern w:val="0"/>
      <w:sz w:val="2"/>
      <w:szCs w:val="2"/>
      <w14:ligatures w14:val="none"/>
    </w:rPr>
  </w:style>
  <w:style w:type="paragraph" w:customStyle="1" w:styleId="SidebarBody">
    <w:name w:val="Sidebar Body"/>
    <w:basedOn w:val="Normal"/>
    <w:link w:val="SidebarBodyChar"/>
    <w:qFormat/>
    <w:rsid w:val="007E4CE3"/>
    <w:pPr>
      <w:framePr w:hSpace="180" w:wrap="around" w:vAnchor="text" w:hAnchor="text" w:x="6840" w:y="1"/>
      <w:spacing w:after="120" w:line="240" w:lineRule="atLeast"/>
      <w:ind w:left="288" w:right="58"/>
      <w:suppressOverlap/>
    </w:pPr>
    <w:rPr>
      <w:rFonts w:eastAsiaTheme="minorHAnsi"/>
      <w:color w:val="93579C" w:themeColor="accent6"/>
      <w:kern w:val="0"/>
      <w:sz w:val="18"/>
      <w:szCs w:val="20"/>
      <w14:ligatures w14:val="none"/>
    </w:rPr>
  </w:style>
  <w:style w:type="character" w:customStyle="1" w:styleId="SidebarBodyChar">
    <w:name w:val="Sidebar Body Char"/>
    <w:basedOn w:val="DefaultParagraphFont"/>
    <w:link w:val="SidebarBody"/>
    <w:rsid w:val="007E4CE3"/>
    <w:rPr>
      <w:color w:val="93579C" w:themeColor="accent6"/>
      <w:kern w:val="0"/>
      <w:sz w:val="18"/>
      <w:szCs w:val="20"/>
      <w14:ligatures w14:val="none"/>
    </w:rPr>
  </w:style>
  <w:style w:type="paragraph" w:customStyle="1" w:styleId="SidebarHeading1">
    <w:name w:val="Sidebar Heading 1"/>
    <w:basedOn w:val="SidebarBody"/>
    <w:next w:val="SidebarBody"/>
    <w:link w:val="SidebarHeading1Char"/>
    <w:qFormat/>
    <w:rsid w:val="007E4CE3"/>
    <w:pPr>
      <w:framePr w:wrap="around"/>
      <w:spacing w:before="120" w:after="240"/>
    </w:pPr>
    <w:rPr>
      <w:rFonts w:cstheme="minorHAnsi"/>
      <w:b/>
      <w:sz w:val="24"/>
      <w:szCs w:val="24"/>
    </w:rPr>
  </w:style>
  <w:style w:type="character" w:customStyle="1" w:styleId="SidebarHeading1Char">
    <w:name w:val="Sidebar Heading 1 Char"/>
    <w:basedOn w:val="DefaultParagraphFont"/>
    <w:link w:val="SidebarHeading1"/>
    <w:rsid w:val="007E4CE3"/>
    <w:rPr>
      <w:rFonts w:cstheme="minorHAnsi"/>
      <w:b/>
      <w:color w:val="93579C" w:themeColor="accent6"/>
      <w:kern w:val="0"/>
      <w14:ligatures w14:val="none"/>
    </w:rPr>
  </w:style>
  <w:style w:type="character" w:customStyle="1" w:styleId="Heading2Char">
    <w:name w:val="Heading 2 Char"/>
    <w:basedOn w:val="DefaultParagraphFont"/>
    <w:link w:val="Heading2"/>
    <w:uiPriority w:val="9"/>
    <w:rsid w:val="00CF335B"/>
    <w:rPr>
      <w:rFonts w:ascii="Arial" w:hAnsi="Arial" w:cs="Source Sans Pro"/>
      <w:b/>
      <w:bCs/>
      <w:color w:val="FFFFFF" w:themeColor="background1"/>
      <w:kern w:val="0"/>
      <w:sz w:val="22"/>
      <w:szCs w:val="22"/>
      <w14:ligatures w14:val="none"/>
    </w:rPr>
  </w:style>
  <w:style w:type="paragraph" w:customStyle="1" w:styleId="SidebarListBullet">
    <w:name w:val="Sidebar List Bullet"/>
    <w:basedOn w:val="Normal"/>
    <w:next w:val="Normal"/>
    <w:link w:val="SidebarListBulletChar"/>
    <w:qFormat/>
    <w:rsid w:val="000C317D"/>
    <w:pPr>
      <w:framePr w:hSpace="180" w:wrap="around" w:vAnchor="text" w:hAnchor="text" w:x="6840" w:y="1"/>
      <w:numPr>
        <w:numId w:val="3"/>
      </w:numPr>
      <w:spacing w:before="80" w:after="80" w:line="200" w:lineRule="atLeast"/>
      <w:ind w:left="540" w:hanging="180"/>
      <w:contextualSpacing/>
      <w:suppressOverlap/>
    </w:pPr>
    <w:rPr>
      <w:rFonts w:eastAsiaTheme="minorHAnsi"/>
      <w:bCs/>
      <w:color w:val="93579C" w:themeColor="accent6"/>
      <w:kern w:val="0"/>
      <w:sz w:val="18"/>
      <w:szCs w:val="20"/>
      <w14:ligatures w14:val="none"/>
    </w:rPr>
  </w:style>
  <w:style w:type="character" w:customStyle="1" w:styleId="SidebarListBulletChar">
    <w:name w:val="Sidebar List Bullet Char"/>
    <w:basedOn w:val="DefaultParagraphFont"/>
    <w:link w:val="SidebarListBullet"/>
    <w:rsid w:val="000C317D"/>
    <w:rPr>
      <w:bCs/>
      <w:color w:val="93579C" w:themeColor="accent6"/>
      <w:kern w:val="0"/>
      <w:sz w:val="18"/>
      <w:szCs w:val="20"/>
      <w14:ligatures w14:val="none"/>
    </w:rPr>
  </w:style>
  <w:style w:type="paragraph" w:customStyle="1" w:styleId="SidebarHeading2">
    <w:name w:val="Sidebar Heading 2"/>
    <w:basedOn w:val="SidebarHeading1"/>
    <w:qFormat/>
    <w:rsid w:val="000C317D"/>
    <w:pPr>
      <w:framePr w:wrap="around"/>
      <w:spacing w:before="180" w:after="120"/>
    </w:pPr>
    <w:rPr>
      <w:sz w:val="18"/>
      <w:szCs w:val="18"/>
    </w:rPr>
  </w:style>
  <w:style w:type="paragraph" w:customStyle="1" w:styleId="SidebarQuote">
    <w:name w:val="Sidebar Quote"/>
    <w:basedOn w:val="SidebarBody"/>
    <w:qFormat/>
    <w:rsid w:val="000C317D"/>
    <w:pPr>
      <w:framePr w:wrap="around"/>
      <w:spacing w:after="0" w:line="360" w:lineRule="auto"/>
      <w:ind w:hanging="14"/>
    </w:pPr>
    <w:rPr>
      <w:color w:val="10CFC9" w:themeColor="accent2"/>
      <w:sz w:val="24"/>
      <w:szCs w:val="24"/>
    </w:rPr>
  </w:style>
  <w:style w:type="paragraph" w:customStyle="1" w:styleId="BasicParagraph">
    <w:name w:val="[Basic Paragraph]"/>
    <w:basedOn w:val="Normal"/>
    <w:uiPriority w:val="99"/>
    <w:rsid w:val="0063694C"/>
    <w:pPr>
      <w:suppressAutoHyphens/>
      <w:autoSpaceDE w:val="0"/>
      <w:autoSpaceDN w:val="0"/>
      <w:adjustRightInd w:val="0"/>
      <w:spacing w:line="384" w:lineRule="atLeast"/>
      <w:textAlignment w:val="center"/>
    </w:pPr>
    <w:rPr>
      <w:rFonts w:ascii="Source Sans Pro" w:eastAsiaTheme="minorHAnsi" w:hAnsi="Source Sans Pro" w:cs="Source Sans Pro"/>
      <w:color w:val="0C2332"/>
      <w:kern w:val="0"/>
      <w:sz w:val="22"/>
      <w:lang w:bidi="gu-IN"/>
      <w14:ligatures w14:val="none"/>
    </w:rPr>
  </w:style>
  <w:style w:type="paragraph" w:styleId="BodyText">
    <w:name w:val="Body Text"/>
    <w:basedOn w:val="Normal"/>
    <w:link w:val="BodyTextChar"/>
    <w:uiPriority w:val="1"/>
    <w:qFormat/>
    <w:rsid w:val="0063694C"/>
    <w:pPr>
      <w:widowControl w:val="0"/>
      <w:autoSpaceDE w:val="0"/>
      <w:autoSpaceDN w:val="0"/>
    </w:pPr>
    <w:rPr>
      <w:rFonts w:eastAsia="Inter" w:cs="Inter"/>
      <w:color w:val="auto"/>
      <w:kern w:val="0"/>
      <w:sz w:val="20"/>
      <w:szCs w:val="20"/>
      <w14:ligatures w14:val="none"/>
    </w:rPr>
  </w:style>
  <w:style w:type="character" w:customStyle="1" w:styleId="BodyTextChar">
    <w:name w:val="Body Text Char"/>
    <w:basedOn w:val="DefaultParagraphFont"/>
    <w:link w:val="BodyText"/>
    <w:uiPriority w:val="1"/>
    <w:rsid w:val="0063694C"/>
    <w:rPr>
      <w:rFonts w:ascii="Inter" w:eastAsia="Inter" w:hAnsi="Inter" w:cs="Inter"/>
      <w:kern w:val="0"/>
      <w:sz w:val="20"/>
      <w:szCs w:val="20"/>
      <w14:ligatures w14:val="none"/>
    </w:rPr>
  </w:style>
  <w:style w:type="character" w:customStyle="1" w:styleId="CopySmall">
    <w:name w:val="Copy Small"/>
    <w:basedOn w:val="DefaultParagraphFont"/>
    <w:uiPriority w:val="99"/>
    <w:rsid w:val="0063694C"/>
    <w:rPr>
      <w:rFonts w:ascii="Inter" w:hAnsi="Inter" w:cs="Inter"/>
      <w:outline/>
      <w:spacing w:val="-2"/>
      <w:sz w:val="18"/>
      <w:szCs w:val="18"/>
    </w:rPr>
  </w:style>
  <w:style w:type="character" w:customStyle="1" w:styleId="Footnotes">
    <w:name w:val="Footnotes"/>
    <w:basedOn w:val="DefaultParagraphFont"/>
    <w:uiPriority w:val="99"/>
    <w:rsid w:val="0063694C"/>
    <w:rPr>
      <w:rFonts w:ascii="Inter" w:hAnsi="Inter" w:cs="Inter"/>
      <w:outline/>
      <w:spacing w:val="0"/>
      <w:sz w:val="10"/>
      <w:szCs w:val="10"/>
    </w:rPr>
  </w:style>
  <w:style w:type="character" w:styleId="Hyperlink">
    <w:name w:val="Hyperlink"/>
    <w:basedOn w:val="DefaultParagraphFont"/>
    <w:uiPriority w:val="99"/>
    <w:unhideWhenUsed/>
    <w:rsid w:val="001D12C4"/>
    <w:rPr>
      <w:color w:val="009845" w:themeColor="hyperlink"/>
      <w:u w:val="single"/>
    </w:rPr>
  </w:style>
  <w:style w:type="character" w:styleId="UnresolvedMention">
    <w:name w:val="Unresolved Mention"/>
    <w:basedOn w:val="DefaultParagraphFont"/>
    <w:uiPriority w:val="99"/>
    <w:semiHidden/>
    <w:unhideWhenUsed/>
    <w:rsid w:val="001D12C4"/>
    <w:rPr>
      <w:color w:val="605E5C"/>
      <w:shd w:val="clear" w:color="auto" w:fill="E1DFDD"/>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Relationship Id="rId0" Type="http://schemas.openxmlformats.org/officeDocument/2006/relationships/image" Target="media/9df9435ca988fd40276d8768db82a6e2917dd79d.png"/></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2026-06-12T20:04:50.133Z</dcterms:created>
  <dcterms:modified xsi:type="dcterms:W3CDTF">2026-06-12T20:04:50.133Z</dcterms:modified>
</cp:coreProperties>
</file>

<file path=docProps/custom.xml><?xml version="1.0" encoding="utf-8"?>
<Properties xmlns="http://schemas.openxmlformats.org/officeDocument/2006/custom-properties" xmlns:vt="http://schemas.openxmlformats.org/officeDocument/2006/docPropsVTypes"/>
</file>