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D7C8F" w:sz="2" w:space="4"/>
        </w:pBdr>
        <w:spacing w:after="160" w:before="360"/>
      </w:pPr>
      <w:r>
        <w:rPr>
          <w:rFonts w:ascii="Calibri" w:cs="Calibri" w:eastAsia="Calibri" w:hAnsi="Calibri"/>
          <w:b/>
          <w:bCs/>
          <w:color w:val="1B2A4A"/>
          <w:sz w:val="30"/>
          <w:szCs w:val="30"/>
        </w:rPr>
        <w:t xml:space="preserve">INC-2025-05102: TransFrio São Paulo-Buenos Aires — Cold Chain Spoilage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Incident ID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INC-2025-05102</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Severity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P1 — Critical</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Range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July — September 2025 (Q3)</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Date Root Cause Identified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18 September 2025</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Total Financial Impact</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$2.48M</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Carrier</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TransFrio Logistics S.A.</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Route</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São Paulo DC → Buenos Aires DC (1,500 km, ~22 hours)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Products Affected</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Fresh produce, dairy, frozen goods</w:t>
            </w:r>
          </w:p>
        </w:tc>
      </w:tr>
      <w:tr>
        <w:tc>
          <w:tcPr>
            <w:tcW w:type="pct" w:w="30%"/>
            <w:shd w:color="1B2A4A" w:val="solid"/>
            <w:tcMar>
              <w:top w:type="dxa" w:w="40"/>
              <w:left w:type="dxa" w:w="100"/>
              <w:bottom w:type="dxa" w:w="40"/>
              <w:right w:type="dxa" w:w="100"/>
            </w:tcMar>
          </w:tcPr>
          <w:p>
            <w:pPr>
              <w:spacing w:after="0"/>
            </w:pPr>
            <w:r>
              <w:rPr>
                <w:rFonts w:ascii="Calibri" w:cs="Calibri" w:eastAsia="Calibri" w:hAnsi="Calibri"/>
                <w:b/>
                <w:bCs/>
                <w:color w:val="FFFFFF"/>
                <w:sz w:val="20"/>
                <w:szCs w:val="20"/>
              </w:rPr>
              <w:t xml:space="preserve">Reported By</w:t>
            </w:r>
          </w:p>
        </w:tc>
        <w:tc>
          <w:tcPr>
            <w:tcW w:type="pct" w:w="70%"/>
            <w:shd w:color="F2F4F7" w:val="solid"/>
            <w:tcMar>
              <w:top w:type="dxa" w:w="40"/>
              <w:left w:type="dxa" w:w="100"/>
              <w:bottom w:type="dxa" w:w="40"/>
              <w:right w:type="dxa" w:w="100"/>
            </w:tcMar>
          </w:tcPr>
          <w:p>
            <w:pPr>
              <w:spacing w:after="0"/>
            </w:pPr>
            <w:r>
              <w:rPr>
                <w:rFonts w:ascii="Calibri" w:cs="Calibri" w:eastAsia="Calibri" w:hAnsi="Calibri"/>
                <w:color w:val="1F2937"/>
                <w:sz w:val="20"/>
                <w:szCs w:val="20"/>
              </w:rPr>
              <w:t xml:space="preserve">Roberto Almeida, LATAM Operations Director</w:t>
            </w:r>
          </w:p>
        </w:tc>
      </w:tr>
    </w:tbl>
    <w:p>
      <w:pPr>
        <w:pBdr>
          <w:bottom w:val="single" w:color="0D7C8F" w:sz="2" w:space="4"/>
        </w:pBdr>
        <w:spacing w:after="160" w:before="360"/>
      </w:pPr>
      <w:r>
        <w:rPr>
          <w:rFonts w:ascii="Calibri" w:cs="Calibri" w:eastAsia="Calibri" w:hAnsi="Calibri"/>
          <w:b/>
          <w:bCs/>
          <w:color w:val="1B2A4A"/>
          <w:sz w:val="30"/>
          <w:szCs w:val="30"/>
        </w:rPr>
        <w:t xml:space="preserve">1. Executive Summary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DC2626"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Over Q3 2025, MCG experienced $2.48M in product spoilage on the São Paulo-Buenos Aires cold chain corridor operated by TransFrio Logistics. The root cause — TransFrio's unannounced replacement of 6 fleet trucks with new Thermo King X4 7500 reefer units whose drivers hadn't been retrained — took 3 weeks to identify because IoT temperature data and carrier fleet data lived in disconnected systems.</w:t>
            </w:r>
          </w:p>
        </w:tc>
      </w:tr>
    </w:tbl>
    <w:p>
      <w:pPr>
        <w:pBdr>
          <w:bottom w:val="single" w:color="0D7C8F" w:sz="2" w:space="4"/>
        </w:pBdr>
        <w:spacing w:after="160" w:before="360"/>
      </w:pPr>
      <w:r>
        <w:rPr>
          <w:rFonts w:ascii="Calibri" w:cs="Calibri" w:eastAsia="Calibri" w:hAnsi="Calibri"/>
          <w:b/>
          <w:bCs/>
          <w:color w:val="1B2A4A"/>
          <w:sz w:val="30"/>
          <w:szCs w:val="30"/>
        </w:rPr>
        <w:t xml:space="preserve">2. Spoilage Timeline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Week</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Spoilage Rate</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 Impact</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Internal Assessment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W27 (Jul 7)</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1.2%</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$82K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Within normal range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W28 (Jul 14)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$143K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Slight increase — attributed to summer heat</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W29 (Jul 21)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3.8%</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$261K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Escalating — TransFrio asked to investigate</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W30 (Jul 28)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4.1%</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$280K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blames 'extreme heat wave'</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W31-W35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3.2-4.5%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$1,180K</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Ongoing — operations teams accept heat explanation</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W36 (Sep 8)</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3.9%</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$267K</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Analyst Roberto Almeida manually correlates IoT + fleet data</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W37 (Sep 15)</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Root cause identified: fleet change + driver retraining gap</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W38 (Sep 22)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TransFrio confirms fleet replacement in July</w:t>
            </w:r>
          </w:p>
        </w:tc>
      </w:tr>
    </w:tbl>
    <w:p>
      <w:pPr>
        <w:spacing w:after="80"/>
      </w:pPr>
      <w:r>
        <w:rPr>
          <w:rFonts w:ascii="Calibri" w:cs="Calibri" w:eastAsia="Calibri" w:hAnsi="Calibri"/>
          <w:b/>
          <w:bCs/>
          <w:color w:val="1B2A4A"/>
          <w:sz w:val="21"/>
          <w:szCs w:val="21"/>
        </w:rPr>
        <w:t xml:space="preserve">Total Q3 Spoilage: </w:t>
      </w:r>
      <w:r>
        <w:rPr>
          <w:rFonts w:ascii="Calibri" w:cs="Calibri" w:eastAsia="Calibri" w:hAnsi="Calibri"/>
          <w:color w:val="1F2937"/>
          <w:sz w:val="21"/>
          <w:szCs w:val="21"/>
        </w:rPr>
        <w:t xml:space="preserve">$2.48M ($1.82M product + $0.41M expedited replacements + $0.25M customer refunds)</w:t>
      </w:r>
    </w:p>
    <w:p>
      <w:pPr>
        <w:pBdr>
          <w:bottom w:val="single" w:color="0D7C8F" w:sz="2" w:space="4"/>
        </w:pBdr>
        <w:spacing w:after="160" w:before="360"/>
      </w:pPr>
      <w:r>
        <w:rPr>
          <w:rFonts w:ascii="Calibri" w:cs="Calibri" w:eastAsia="Calibri" w:hAnsi="Calibri"/>
          <w:b/>
          <w:bCs/>
          <w:color w:val="1B2A4A"/>
          <w:sz w:val="30"/>
          <w:szCs w:val="30"/>
        </w:rPr>
        <w:t xml:space="preserve">3. Root Cause Analysis</w:t>
      </w:r>
    </w:p>
    <w:p>
      <w:pPr>
        <w:spacing w:after="120" w:before="280"/>
      </w:pPr>
      <w:r>
        <w:rPr>
          <w:rFonts w:ascii="Calibri" w:cs="Calibri" w:eastAsia="Calibri" w:hAnsi="Calibri"/>
          <w:b/>
          <w:bCs/>
          <w:color w:val="0D7C8F"/>
          <w:sz w:val="26"/>
          <w:szCs w:val="26"/>
        </w:rPr>
        <w:t xml:space="preserve">3.1 What Happened</w:t>
      </w:r>
    </w:p>
    <w:p>
      <w:pPr>
        <w:spacing w:after="120"/>
        <w:jc w:val="left"/>
      </w:pPr>
      <w:r>
        <w:rPr>
          <w:rFonts w:ascii="Calibri" w:cs="Calibri" w:eastAsia="Calibri" w:hAnsi="Calibri"/>
          <w:b w:val="false"/>
          <w:bCs w:val="false"/>
          <w:i w:val="false"/>
          <w:iCs w:val="false"/>
          <w:color w:val="1F2937"/>
          <w:sz w:val="21"/>
          <w:szCs w:val="21"/>
        </w:rPr>
        <w:t xml:space="preserve">In early July 2025, TransFrio replaced 6 of its 12 dedicated MCG fleet trucks with newer models equipped with Thermo King X4 7500 reefer units. The X4 7500 has a different startup sequence than the older X4 7300 units: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Step</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7300 (Old)</w:t>
            </w:r>
          </w:p>
        </w:tc>
        <w:tc>
          <w:tcPr>
            <w:shd w:color="0D7C8F" w:val="solid"/>
            <w:tcMar>
              <w:top w:type="dxa" w:w="40"/>
              <w:left w:type="dxa" w:w="80"/>
              <w:bottom w:type="dxa" w:w="40"/>
              <w:right w:type="dxa" w:w="80"/>
            </w:tcMar>
          </w:tcPr>
          <w:p>
            <w:pPr>
              <w:spacing w:after="0"/>
            </w:pPr>
            <w:r>
              <w:rPr>
                <w:rFonts w:ascii="Calibri" w:cs="Calibri" w:eastAsia="Calibri" w:hAnsi="Calibri"/>
                <w:b/>
                <w:bCs/>
                <w:color w:val="FFFFFF"/>
                <w:sz w:val="19"/>
                <w:szCs w:val="19"/>
              </w:rPr>
              <w:t xml:space="preserve">X4 7500 (New)</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1</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START</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Press and HOLD START for 3 seconds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2</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Set temperature on dial</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Enter temperature on digital keypad</w:t>
            </w:r>
          </w:p>
        </w:tc>
      </w:tr>
      <w:tr>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3</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reaches setpoint in ~15 min</w:t>
            </w:r>
          </w:p>
        </w:tc>
        <w:tc>
          <w:tcPr>
            <w:shd w:color="F2F4F7" w:val="solid"/>
            <w:tcMar>
              <w:top w:type="dxa" w:w="30"/>
              <w:left w:type="dxa" w:w="80"/>
              <w:bottom w:type="dxa" w:w="30"/>
              <w:right w:type="dxa" w:w="80"/>
            </w:tcMar>
          </w:tcPr>
          <w:p>
            <w:pPr>
              <w:spacing w:after="0"/>
            </w:pPr>
            <w:r>
              <w:rPr>
                <w:rFonts w:ascii="Calibri" w:cs="Calibri" w:eastAsia="Calibri" w:hAnsi="Calibri"/>
                <w:color w:val="1F2937"/>
                <w:sz w:val="19"/>
                <w:szCs w:val="19"/>
              </w:rPr>
              <w:t xml:space="preserve">Unit requires 30-second initialization before cooling begins</w:t>
            </w:r>
          </w:p>
        </w:tc>
      </w:tr>
      <w:tr>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4</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green light</w:t>
            </w:r>
          </w:p>
        </w:tc>
        <w:tc>
          <w:tcPr>
            <w:tcMar>
              <w:top w:type="dxa" w:w="30"/>
              <w:left w:type="dxa" w:w="80"/>
              <w:bottom w:type="dxa" w:w="30"/>
              <w:right w:type="dxa" w:w="80"/>
            </w:tcMar>
          </w:tcPr>
          <w:p>
            <w:pPr>
              <w:spacing w:after="0"/>
            </w:pPr>
            <w:r>
              <w:rPr>
                <w:rFonts w:ascii="Calibri" w:cs="Calibri" w:eastAsia="Calibri" w:hAnsi="Calibri"/>
                <w:color w:val="1F2937"/>
                <w:sz w:val="19"/>
                <w:szCs w:val="19"/>
              </w:rPr>
              <w:t xml:space="preserve">Pre-cool confirmation: digital display shows 'READY'</w:t>
            </w:r>
          </w:p>
        </w:tc>
      </w:tr>
    </w:tbl>
    <w:p>
      <w:pPr>
        <w:spacing w:after="120"/>
        <w:jc w:val="left"/>
      </w:pPr>
      <w:r>
        <w:rPr>
          <w:rFonts w:ascii="Calibri" w:cs="Calibri" w:eastAsia="Calibri" w:hAnsi="Calibri"/>
          <w:b w:val="false"/>
          <w:bCs w:val="false"/>
          <w:i w:val="false"/>
          <w:iCs w:val="false"/>
          <w:color w:val="1F2937"/>
          <w:sz w:val="21"/>
          <w:szCs w:val="21"/>
        </w:rPr>
        <w:t xml:space="preserve">Drivers using the old X4 7300 procedure on the new X4 7500 were pressing START briefly (instead of holding), causing the unit to enter standby mode rather than active cooling. This resulted in a 30-45 minute delay before the unit actually began cooling — effectively shipping with warm trailers.</w:t>
      </w:r>
    </w:p>
    <w:p>
      <w:pPr>
        <w:spacing w:after="120" w:before="280"/>
      </w:pPr>
      <w:r>
        <w:rPr>
          <w:rFonts w:ascii="Calibri" w:cs="Calibri" w:eastAsia="Calibri" w:hAnsi="Calibri"/>
          <w:b/>
          <w:bCs/>
          <w:color w:val="0D7C8F"/>
          <w:sz w:val="26"/>
          <w:szCs w:val="26"/>
        </w:rPr>
        <w:t xml:space="preserve">3.2 Why It Took 3 Weeks to Identify</w:t>
      </w:r>
    </w:p>
    <w:p>
      <w:pPr>
        <w:spacing w:after="120"/>
        <w:jc w:val="left"/>
      </w:pPr>
      <w:r>
        <w:rPr>
          <w:rFonts w:ascii="Calibri" w:cs="Calibri" w:eastAsia="Calibri" w:hAnsi="Calibri"/>
          <w:b w:val="false"/>
          <w:bCs w:val="false"/>
          <w:i w:val="false"/>
          <w:iCs w:val="false"/>
          <w:color w:val="1F2937"/>
          <w:sz w:val="21"/>
          <w:szCs w:val="21"/>
        </w:rPr>
        <w:t xml:space="preserve">The delay in root cause identification was due to data silos:</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Tive IoT sensors recorded the temperature excursions accurately — data was available in MCG's IoT platform</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TransFrio's fleet management system recorded which trucks were used on which routes — data was NOT shared with MCG</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MCG's analytics dashboards showed spoilage trending upward but had no carrier fleet metadata to correlate against</w:t>
      </w:r>
    </w:p>
    <w:p>
      <w:pPr>
        <w:pStyle w:val="ListParagraph"/>
        <w:numPr>
          <w:ilvl w:val="0"/>
          <w:numId w:val="1"/>
        </w:numPr>
        <w:spacing w:after="120"/>
        <w:jc w:val="left"/>
      </w:pPr>
      <w:r>
        <w:rPr>
          <w:rFonts w:ascii="Calibri" w:cs="Calibri" w:eastAsia="Calibri" w:hAnsi="Calibri"/>
          <w:b w:val="false"/>
          <w:bCs w:val="false"/>
          <w:i w:val="false"/>
          <w:iCs w:val="false"/>
          <w:color w:val="1F2937"/>
          <w:sz w:val="21"/>
          <w:szCs w:val="21"/>
        </w:rPr>
        <w:t xml:space="preserve">The 'summer heat' explanation was plausible and accepted without challenge for 3 weeks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D7C8F" w:val="solid"/>
          </w:tcPr>
          <w:p>
            <w:pPr>
              <w:spacing w:after="0"/>
            </w:pPr>
            <w:r>
              <w:rPr>
                <w:sz w:val="10"/>
                <w:szCs w:val="10"/>
              </w:rPr>
              <w:t xml:space="preserve"> </w:t>
            </w:r>
          </w:p>
        </w:tc>
        <w:tc>
          <w:tcPr>
            <w:tcW w:type="pct" w:w="99%"/>
            <w:shd w:color="F2F4F7" w:val="solid"/>
            <w:tcMar>
              <w:top w:type="dxa" w:w="80"/>
              <w:left w:type="dxa" w:w="120"/>
              <w:bottom w:type="dxa" w:w="80"/>
              <w:right w:type="dxa" w:w="120"/>
            </w:tcMar>
          </w:tcPr>
          <w:p>
            <w:pPr>
              <w:spacing w:after="0"/>
            </w:pPr>
            <w:r>
              <w:rPr>
                <w:rFonts w:ascii="Calibri" w:cs="Calibri" w:eastAsia="Calibri" w:hAnsi="Calibri"/>
                <w:color w:val="1F2937"/>
                <w:sz w:val="20"/>
                <w:szCs w:val="20"/>
              </w:rPr>
              <w:t xml:space="preserve">If MCG had a unified data layer connecting IoT telemetry with carrier fleet data, the correlation between fleet truck changeover (July) and spoilage spike (July) would have been immediately visible. This is exactly the kind of insight Project CLARITY's data integration will enable.</w:t>
            </w:r>
          </w:p>
        </w:tc>
      </w:tr>
    </w:tbl>
    <w:p>
      <w:pPr>
        <w:pBdr>
          <w:bottom w:val="single" w:color="0D7C8F" w:sz="2" w:space="4"/>
        </w:pBdr>
        <w:spacing w:after="160" w:before="360"/>
      </w:pPr>
      <w:r>
        <w:rPr>
          <w:rFonts w:ascii="Calibri" w:cs="Calibri" w:eastAsia="Calibri" w:hAnsi="Calibri"/>
          <w:b/>
          <w:bCs/>
          <w:color w:val="1B2A4A"/>
          <w:sz w:val="30"/>
          <w:szCs w:val="30"/>
        </w:rPr>
        <w:t xml:space="preserve">4. Corrective Actions</w:t>
      </w:r>
    </w:p>
    <w:p>
      <w:pPr>
        <w:spacing w:after="120"/>
        <w:jc w:val="left"/>
      </w:pPr>
      <w:r>
        <w:rPr>
          <w:rFonts w:ascii="Calibri" w:cs="Calibri" w:eastAsia="Calibri" w:hAnsi="Calibri"/>
          <w:b w:val="false"/>
          <w:bCs w:val="false"/>
          <w:i w:val="false"/>
          <w:iCs w:val="false"/>
          <w:color w:val="1F2937"/>
          <w:sz w:val="21"/>
          <w:szCs w:val="21"/>
        </w:rPr>
        <w:t xml:space="preserve">Immediate actions taken:</w:t>
      </w:r>
    </w:p>
    <w:p>
      <w:pPr>
        <w:spacing w:after="80"/>
        <w:ind w:left="431"/>
      </w:pPr>
      <w:r>
        <w:rPr>
          <w:rFonts w:ascii="Calibri" w:cs="Calibri" w:eastAsia="Calibri" w:hAnsi="Calibri"/>
          <w:b/>
          <w:bCs/>
          <w:color w:val="0D7C8F"/>
          <w:sz w:val="21"/>
          <w:szCs w:val="21"/>
        </w:rPr>
        <w:t xml:space="preserve">1. </w:t>
      </w:r>
      <w:r>
        <w:rPr>
          <w:rFonts w:ascii="Calibri" w:cs="Calibri" w:eastAsia="Calibri" w:hAnsi="Calibri"/>
          <w:b w:val="false"/>
          <w:bCs w:val="false"/>
          <w:color w:val="1F2937"/>
          <w:sz w:val="21"/>
          <w:szCs w:val="21"/>
        </w:rPr>
        <w:t xml:space="preserve">Formal corrective action notice sent to TransFrio (SUPP-2025-TransFrio, 01 October 2025)</w:t>
      </w:r>
    </w:p>
    <w:p>
      <w:pPr>
        <w:spacing w:after="80"/>
        <w:ind w:left="431"/>
      </w:pPr>
      <w:r>
        <w:rPr>
          <w:rFonts w:ascii="Calibri" w:cs="Calibri" w:eastAsia="Calibri" w:hAnsi="Calibri"/>
          <w:b/>
          <w:bCs/>
          <w:color w:val="0D7C8F"/>
          <w:sz w:val="21"/>
          <w:szCs w:val="21"/>
        </w:rPr>
        <w:t xml:space="preserve">2. </w:t>
      </w:r>
      <w:r>
        <w:rPr>
          <w:rFonts w:ascii="Calibri" w:cs="Calibri" w:eastAsia="Calibri" w:hAnsi="Calibri"/>
          <w:b w:val="false"/>
          <w:bCs w:val="false"/>
          <w:color w:val="1F2937"/>
          <w:sz w:val="21"/>
          <w:szCs w:val="21"/>
        </w:rPr>
        <w:t xml:space="preserve">Pre-cooling verification added to loading protocol: MCG dock staff must verify reefer display shows 0°C or below before allowing loading</w:t>
      </w:r>
    </w:p>
    <w:p>
      <w:pPr>
        <w:spacing w:after="80"/>
        <w:ind w:left="431"/>
      </w:pPr>
      <w:r>
        <w:rPr>
          <w:rFonts w:ascii="Calibri" w:cs="Calibri" w:eastAsia="Calibri" w:hAnsi="Calibri"/>
          <w:b/>
          <w:bCs/>
          <w:color w:val="0D7C8F"/>
          <w:sz w:val="21"/>
          <w:szCs w:val="21"/>
        </w:rPr>
        <w:t xml:space="preserve">3. </w:t>
      </w:r>
      <w:r>
        <w:rPr>
          <w:rFonts w:ascii="Calibri" w:cs="Calibri" w:eastAsia="Calibri" w:hAnsi="Calibri"/>
          <w:b w:val="false"/>
          <w:bCs w:val="false"/>
          <w:color w:val="1F2937"/>
          <w:sz w:val="21"/>
          <w:szCs w:val="21"/>
        </w:rPr>
        <w:t xml:space="preserve">TransFrio required to install APUs for Argentine border wait (14-hour average)</w:t>
      </w:r>
    </w:p>
    <w:p>
      <w:pPr>
        <w:spacing w:after="80"/>
        <w:ind w:left="431"/>
      </w:pPr>
      <w:r>
        <w:rPr>
          <w:rFonts w:ascii="Calibri" w:cs="Calibri" w:eastAsia="Calibri" w:hAnsi="Calibri"/>
          <w:b/>
          <w:bCs/>
          <w:color w:val="0D7C8F"/>
          <w:sz w:val="21"/>
          <w:szCs w:val="21"/>
        </w:rPr>
        <w:t xml:space="preserve">4. </w:t>
      </w:r>
      <w:r>
        <w:rPr>
          <w:rFonts w:ascii="Calibri" w:cs="Calibri" w:eastAsia="Calibri" w:hAnsi="Calibri"/>
          <w:b w:val="false"/>
          <w:bCs w:val="false"/>
          <w:color w:val="1F2937"/>
          <w:sz w:val="21"/>
          <w:szCs w:val="21"/>
        </w:rPr>
        <w:t xml:space="preserve">Telemetry data sharing via API required within 60 days</w:t>
      </w:r>
    </w:p>
    <w:p>
      <w:pPr>
        <w:spacing w:after="120"/>
        <w:jc w:val="left"/>
      </w:pPr>
      <w:r>
        <w:rPr>
          <w:rFonts w:ascii="Calibri" w:cs="Calibri" w:eastAsia="Calibri" w:hAnsi="Calibri"/>
          <w:b w:val="false"/>
          <w:bCs w:val="false"/>
          <w:i w:val="false"/>
          <w:iCs w:val="false"/>
          <w:color w:val="1F2937"/>
          <w:sz w:val="21"/>
          <w:szCs w:val="21"/>
        </w:rPr>
        <w:t xml:space="preserve">Long-term actions:</w:t>
      </w:r>
    </w:p>
    <w:p>
      <w:pPr>
        <w:spacing w:after="80"/>
        <w:ind w:left="431"/>
      </w:pPr>
      <w:r>
        <w:rPr>
          <w:rFonts w:ascii="Calibri" w:cs="Calibri" w:eastAsia="Calibri" w:hAnsi="Calibri"/>
          <w:b/>
          <w:bCs/>
          <w:color w:val="0D7C8F"/>
          <w:sz w:val="21"/>
          <w:szCs w:val="21"/>
        </w:rPr>
        <w:t xml:space="preserve">5. </w:t>
      </w:r>
      <w:r>
        <w:rPr>
          <w:rFonts w:ascii="Calibri" w:cs="Calibri" w:eastAsia="Calibri" w:hAnsi="Calibri"/>
          <w:b w:val="false"/>
          <w:bCs w:val="false"/>
          <w:color w:val="1F2937"/>
          <w:sz w:val="21"/>
          <w:szCs w:val="21"/>
        </w:rPr>
        <w:t xml:space="preserve">Project CLARITY Phase 1 will include IoT-to-carrier data correlation pipeline</w:t>
      </w:r>
    </w:p>
    <w:p>
      <w:pPr>
        <w:spacing w:after="80"/>
        <w:ind w:left="431"/>
      </w:pPr>
      <w:r>
        <w:rPr>
          <w:rFonts w:ascii="Calibri" w:cs="Calibri" w:eastAsia="Calibri" w:hAnsi="Calibri"/>
          <w:b/>
          <w:bCs/>
          <w:color w:val="0D7C8F"/>
          <w:sz w:val="21"/>
          <w:szCs w:val="21"/>
        </w:rPr>
        <w:t xml:space="preserve">6. </w:t>
      </w:r>
      <w:r>
        <w:rPr>
          <w:rFonts w:ascii="Calibri" w:cs="Calibri" w:eastAsia="Calibri" w:hAnsi="Calibri"/>
          <w:b w:val="false"/>
          <w:bCs w:val="false"/>
          <w:color w:val="1F2937"/>
          <w:sz w:val="21"/>
          <w:szCs w:val="21"/>
        </w:rPr>
        <w:t xml:space="preserve">Spoilage prediction model (Qlik AutoML) to detect anomalies within 48 hours, not 3 weeks</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Roberto Almeida</w:t>
      </w:r>
    </w:p>
    <w:p>
      <w:pPr>
        <w:spacing w:after="0"/>
      </w:pPr>
      <w:r>
        <w:rPr>
          <w:rFonts w:ascii="Calibri" w:cs="Calibri" w:eastAsia="Calibri" w:hAnsi="Calibri"/>
          <w:color w:val="6B7280"/>
          <w:sz w:val="19"/>
          <w:szCs w:val="19"/>
        </w:rPr>
        <w:t xml:space="preserve">LATAM Operations Director</w:t>
      </w:r>
    </w:p>
    <w:p>
      <w:pPr>
        <w:spacing w:after="0"/>
      </w:pPr>
      <w:r>
        <w:rPr>
          <w:rFonts w:ascii="Calibri" w:cs="Calibri" w:eastAsia="Calibri" w:hAnsi="Calibri"/>
          <w:i/>
          <w:iCs/>
          <w:color w:val="6B7280"/>
          <w:sz w:val="19"/>
          <w:szCs w:val="19"/>
        </w:rPr>
        <w:t xml:space="preserve">Meridian Commerce Group</w:t>
      </w:r>
    </w:p>
    <w:p>
      <w:pPr>
        <w:spacing w:after="0" w:before="400"/>
      </w:pPr>
    </w:p>
    <w:p>
      <w:pPr>
        <w:pBdr>
          <w:bottom w:val="single" w:color="6B7280" w:sz="1" w:space="1"/>
        </w:pBdr>
        <w:spacing w:after="0"/>
      </w:pPr>
      <w:r>
        <w:rPr>
          <w:sz w:val="20"/>
          <w:szCs w:val="20"/>
        </w:rPr>
        <w:t xml:space="preserve">                                                          </w:t>
      </w:r>
    </w:p>
    <w:p>
      <w:pPr>
        <w:spacing w:after="0"/>
      </w:pPr>
      <w:r>
        <w:rPr>
          <w:rFonts w:ascii="Calibri" w:cs="Calibri" w:eastAsia="Calibri" w:hAnsi="Calibri"/>
          <w:b/>
          <w:bCs/>
          <w:color w:val="1B2A4A"/>
          <w:sz w:val="20"/>
          <w:szCs w:val="20"/>
        </w:rPr>
        <w:t xml:space="preserve">Thomas Brennan</w:t>
      </w:r>
    </w:p>
    <w:p>
      <w:pPr>
        <w:spacing w:after="0"/>
      </w:pPr>
      <w:r>
        <w:rPr>
          <w:rFonts w:ascii="Calibri" w:cs="Calibri" w:eastAsia="Calibri" w:hAnsi="Calibri"/>
          <w:color w:val="6B7280"/>
          <w:sz w:val="19"/>
          <w:szCs w:val="19"/>
        </w:rPr>
        <w:t xml:space="preserve">VP Supply Chain</w:t>
      </w:r>
    </w:p>
    <w:p>
      <w:pPr>
        <w:spacing w:after="0"/>
      </w:pPr>
      <w:r>
        <w:rPr>
          <w:rFonts w:ascii="Calibri" w:cs="Calibri" w:eastAsia="Calibri" w:hAnsi="Calibri"/>
          <w:i/>
          <w:iCs/>
          <w:color w:val="6B7280"/>
          <w:sz w:val="19"/>
          <w:szCs w:val="19"/>
        </w:rPr>
        <w:t xml:space="preserve">Global Supply Chain Division</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D7C8F" w:sz="3" w:space="4"/>
      </w:pBdr>
      <w:spacing w:before="0"/>
    </w:pPr>
    <w:r>
      <w:rPr>
        <w:sz w:val="4"/>
        <w:szCs w:val="4"/>
      </w:rPr>
      <w:t xml:space="preserve"/>
    </w:r>
  </w:p>
  <w:p>
    <w:pPr>
      <w:spacing w:after="0" w:before="0"/>
      <w:jc w:val="center"/>
    </w:pPr>
    <w:r>
      <w:rPr>
        <w:rFonts w:ascii="Calibri" w:cs="Calibri" w:eastAsia="Calibri" w:hAnsi="Calibri"/>
        <w:color w:val="6B7280"/>
        <w:sz w:val="14"/>
        <w:szCs w:val="14"/>
      </w:rPr>
      <w:t xml:space="preserve">Meridian Commerce Group  •  </w:t>
    </w:r>
    <w:r>
      <w:rPr>
        <w:rFonts w:ascii="Calibri" w:cs="Calibri" w:eastAsia="Calibri" w:hAnsi="Calibri"/>
        <w:color w:val="6B7280"/>
        <w:sz w:val="14"/>
        <w:szCs w:val="14"/>
      </w:rPr>
      <w:t xml:space="preserve">Weena 505, 3013 AL Rotterdam, Netherlands</w:t>
    </w:r>
  </w:p>
  <w:p>
    <w:pPr>
      <w:spacing w:after="0" w:before="0"/>
      <w:jc w:val="center"/>
    </w:pPr>
    <w:r>
      <w:rPr>
        <w:rFonts w:ascii="Calibri" w:cs="Calibri" w:eastAsia="Calibri" w:hAnsi="Calibri"/>
        <w:color w:val="6B7280"/>
        <w:sz w:val="14"/>
        <w:szCs w:val="14"/>
      </w:rPr>
      <w:t xml:space="preserve">+31 10 798 4000  •  www.meridiancommerce.com  •  info@meridiancommerce.com</w:t>
    </w:r>
  </w:p>
  <w:p>
    <w:pPr>
      <w:spacing w:after="0" w:before="40"/>
      <w:jc w:val="center"/>
    </w:pPr>
    <w:r>
      <w:rPr>
        <w:rFonts w:ascii="Calibri" w:cs="Calibri" w:eastAsia="Calibri" w:hAnsi="Calibri"/>
        <w:b/>
        <w:bCs/>
        <w:color w:val="C4922E"/>
        <w:sz w:val="13"/>
        <w:szCs w:val="13"/>
      </w:rPr>
      <w:t xml:space="preserve">CONFIDENTIAL — </w:t>
    </w:r>
    <w:r>
      <w:rPr>
        <w:rFonts w:ascii="Calibri" w:cs="Calibri" w:eastAsia="Calibri" w:hAnsi="Calibri"/>
        <w:color w:val="6B7280"/>
        <w:sz w:val="13"/>
        <w:szCs w:val="13"/>
      </w:rPr>
      <w:t xml:space="preserve">Page </w:t>
    </w:r>
    <w:r>
      <w:rPr>
        <w:rFonts w:ascii="Calibri" w:cs="Calibri" w:eastAsia="Calibri" w:hAnsi="Calibri"/>
        <w:color w:val="6B7280"/>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rPr>
        <w:rFonts w:ascii="Calibri" w:cs="Calibri" w:eastAsia="Calibri" w:hAnsi="Calibri"/>
        <w:b/>
        <w:bCs/>
        <w:color w:val="1B2A4A"/>
        <w:sz w:val="28"/>
        <w:szCs w:val="28"/>
      </w:rPr>
      <w:t xml:space="preserve">MERIDIAN</w:t>
    </w:r>
    <w:r>
      <w:rPr>
        <w:rFonts w:ascii="Calibri" w:cs="Calibri" w:eastAsia="Calibri" w:hAnsi="Calibri"/>
        <w:b w:val="false"/>
        <w:bCs w:val="false"/>
        <w:color w:val="1B2A4A"/>
        <w:sz w:val="28"/>
        <w:szCs w:val="28"/>
      </w:rPr>
      <w:t xml:space="preserve"> COMMERCE </w:t>
    </w:r>
    <w:r>
      <w:rPr>
        <w:rFonts w:ascii="Calibri" w:cs="Calibri" w:eastAsia="Calibri" w:hAnsi="Calibri"/>
        <w:b/>
        <w:bCs/>
        <w:color w:val="0D7C8F"/>
        <w:sz w:val="28"/>
        <w:szCs w:val="28"/>
      </w:rPr>
      <w:t xml:space="preserve">GROUP</w:t>
    </w:r>
  </w:p>
  <w:p>
    <w:pPr>
      <w:spacing w:after="0"/>
    </w:pPr>
    <w:r>
      <w:rPr>
        <w:rFonts w:ascii="Calibri" w:cs="Calibri" w:eastAsia="Calibri" w:hAnsi="Calibri"/>
        <w:i/>
        <w:iCs/>
        <w:color w:val="6B7280"/>
        <w:sz w:val="16"/>
        <w:szCs w:val="16"/>
      </w:rPr>
      <w:t xml:space="preserve">The neighborhood store with global reach</w:t>
    </w:r>
  </w:p>
  <w:p>
    <w:pPr>
      <w:pBdr>
        <w:bottom w:val="single" w:color="0D7C8F" w:sz="6" w:space="4"/>
      </w:pBdr>
      <w:spacing w:after="0"/>
    </w:pPr>
    <w:r>
      <w:rPr>
        <w:sz w:val="4"/>
        <w:szCs w:val="4"/>
      </w:rPr>
      <w:t xml:space="preserve"/>
    </w:r>
  </w:p>
  <w:p>
    <w:pPr>
      <w:spacing w:after="0" w:before="60"/>
      <w:jc w:val="right"/>
    </w:pPr>
    <w:r>
      <w:rPr>
        <w:rFonts w:ascii="Calibri" w:cs="Calibri" w:eastAsia="Calibri" w:hAnsi="Calibri"/>
        <w:b/>
        <w:bCs/>
        <w:caps/>
        <w:color w:val="C4922E"/>
        <w:sz w:val="18"/>
        <w:szCs w:val="18"/>
      </w:rPr>
      <w:t xml:space="preserve">INCIDENT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B2A4A"/>
      <w:sz w:val="32"/>
      <w:szCs w:val="32"/>
    </w:rPr>
  </w:style>
  <w:style w:type="paragraph" w:styleId="Heading2">
    <w:name w:val="Heading 2"/>
    <w:basedOn w:val="Normal"/>
    <w:next w:val="Normal"/>
    <w:qFormat/>
    <w:pPr>
      <w:spacing w:after="160" w:before="300"/>
    </w:pPr>
    <w:rPr>
      <w:rFonts w:ascii="Calibri" w:cs="Calibri" w:eastAsia="Calibri" w:hAnsi="Calibri"/>
      <w:b/>
      <w:bCs/>
      <w:color w:val="0D7C8F"/>
      <w:sz w:val="26"/>
      <w:szCs w:val="26"/>
    </w:rPr>
  </w:style>
  <w:style w:type="paragraph" w:styleId="Heading3">
    <w:name w:val="Heading 3"/>
    <w:basedOn w:val="Normal"/>
    <w:next w:val="Normal"/>
    <w:qFormat/>
    <w:pPr>
      <w:spacing w:after="120" w:before="240"/>
    </w:pPr>
    <w:rPr>
      <w:rFonts w:ascii="Calibri" w:cs="Calibri" w:eastAsia="Calibri" w:hAnsi="Calibri"/>
      <w:b/>
      <w:bCs/>
      <w:color w:val="1B2A4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2026-02-26T17:32:07.442Z</dcterms:created>
  <dcterms:modified xsi:type="dcterms:W3CDTF">2026-02-26T17:32:07.442Z</dcterms:modified>
</cp:coreProperties>
</file>

<file path=docProps/custom.xml><?xml version="1.0" encoding="utf-8"?>
<Properties xmlns="http://schemas.openxmlformats.org/officeDocument/2006/custom-properties" xmlns:vt="http://schemas.openxmlformats.org/officeDocument/2006/docPropsVTypes"/>
</file>