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MCG-POL-012: Cold Chain Management Policy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April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Marcus Chen, CIO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SOP-SC-002, MCG-POL-007, INC-2025-05102, TRN-2025-002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mandates the requirements for maintaining cold chain integrity across MCG's perishable product supply chain, from supplier origin through warehouse storage and last-mile delivery to the customer. Cold chain failures cost MCG over $48M annually in spoilage losses, with the Q3 2025 LATAM corridor alone contributing $2.48M in a single quarter.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Temperature Standards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Storage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Transport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Exceedance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Sensor Required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 (leafy, berries)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Root vegetables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 (milk, cheese, yogurt)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-22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&gt; -15°C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outside range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Sensitech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Chilled beverages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Eggs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(EU only)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IoT Monitoring Coverage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Coverage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 (FY2026)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Provider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Interval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Known Issues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significant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Americas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+ Sensitech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Fahrenheit data contamination Jul-Sep 2025 (47K readings)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Higher intervals due to data costs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LATAM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Border crossing connectivity gaps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Africa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Lagos DC: 6-hour daily connectivity blackout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Known Data Quality 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DC2626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AMERICAS FAHRENHEIT CONTAMINATION: Between July and September 2025, Tive sensors in Americas were configured to report in Fahrenheit without a unit indicator. A reading of '41' could mean 41°F (5°C, fine) or 41°C (catastrophic). Approximately 47,000 readings affected. Data remediation in progress. All sensors reconfigured to Celsius as of October 2025.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LAGOS DC CONNECTIVITY: Daily 6-hour internet blackout (typically 11:00-17:00 WAT). Sensors buffer locally and upload when connectivity resumes. Temperature exceedances may go undetected for up to 6 hours. Manual checks every 30 minutes required during blackout. Satellite backup (Starlink) budgeted for Q2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Carrier Requirements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carriers transporting MCG temperature-sensitive products must: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Pre-cool transport units to 0°C BEFORE loading (tightened from 2°C after TransFrio incident). Reefer must show target temp for 15 minutes before doors open.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Maintain continuous temperature logging throughout transport.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Share real-time telemetry with MCG (API preferred; SFTP daily file minimum).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 turn off refrigeration during rest stops, refueling, or border waits. Carriers on routes with extended border crossings must have auxiliary power units (APUs).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Report any temperature exceedance to MCG within 1 hour of detection.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Reference: INC-2025-05102 (TransFrio LATAM spoilage) — $2.48M losses from carrier refrigeration gap and border crossing delays.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Product Disposition Decision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Exceedance Duration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15 min, minor (within +2°C)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monitoring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 for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(no thaw detected)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documentation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do not accept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thaw above -15°C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immediate disposal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exceedance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return to supplier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 + Compliance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2022-06-01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2024-09-01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IoT coverage targets; pharmaceutical requirements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2025-04-01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Post-TransFrio: tightened pre-cooling to 0°C; APU requirement; Lagos blackout documentation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2026-02-26T17:13:38.850Z</dcterms:created>
  <dcterms:modified xsi:type="dcterms:W3CDTF">2026-02-26T17:13:38.850Z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