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0D7C8F" w:sz="2" w:space="4"/>
        </w:pBdr>
        <w:spacing w:after="160" w:before="360"/>
      </w:pPr>
      <w:r>
        <w:rPr>
          <w:rFonts w:ascii="Calibri" w:cs="Calibri" w:eastAsia="Calibri" w:hAnsi="Calibri"/>
          <w:b/>
          <w:bCs/>
          <w:color w:val="1B2A4A"/>
          <w:sz w:val="30"/>
          <w:szCs w:val="30"/>
        </w:rPr>
        <w:t xml:space="preserve">Recall Notice: RCL-2025-003 — Organic Butter Lettuce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Recall ID</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RCL-2025-003</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Classification</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Class II — Potential Health Risk</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Product</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Organic Butter Lettuce (loose and pre-packed)</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Contaminant</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Listeria monocytogenes</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Supplier</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Fresh Direct NL B.V. (sub-tier: Farm NL-0042, Breda)</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Affected Lots</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LOT-FD-2025-0612 through LOT-FD-2025-0618</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Affected Markets</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Netherlands, Germany, Belgium, France</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Affected Units</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12,400 units across 210 stores</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Recall Initiated</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14 June 2025</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Recall Completed</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25 June 2025 (11 days)</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Regulatory Target</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24 hours</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Total Financial Impact</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€85,125</w:t>
            </w:r>
          </w:p>
        </w:tc>
      </w:tr>
    </w:tbl>
    <w:p>
      <w:pPr>
        <w:pBdr>
          <w:bottom w:val="single" w:color="0D7C8F" w:sz="2" w:space="4"/>
        </w:pBdr>
        <w:spacing w:after="160" w:before="360"/>
      </w:pPr>
      <w:r>
        <w:rPr>
          <w:rFonts w:ascii="Calibri" w:cs="Calibri" w:eastAsia="Calibri" w:hAnsi="Calibri"/>
          <w:b/>
          <w:bCs/>
          <w:color w:val="1B2A4A"/>
          <w:sz w:val="30"/>
          <w:szCs w:val="30"/>
        </w:rPr>
        <w:t xml:space="preserve">1. Executive Summary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DC2626" w:val="solid"/>
          </w:tcPr>
          <w:p>
            <w:pPr>
              <w:spacing w:after="0"/>
            </w:pPr>
            <w:r>
              <w:rPr>
                <w:sz w:val="10"/>
                <w:szCs w:val="10"/>
              </w:rPr>
              <w:t xml:space="preserve"> </w:t>
            </w:r>
          </w:p>
        </w:tc>
        <w:tc>
          <w:tcPr>
            <w:tcW w:type="pct" w:w="99%"/>
            <w:shd w:color="F2F4F7" w:val="solid"/>
            <w:tcMar>
              <w:top w:type="dxa" w:w="80"/>
              <w:left w:type="dxa" w:w="120"/>
              <w:bottom w:type="dxa" w:w="80"/>
              <w:right w:type="dxa" w:w="120"/>
            </w:tcMar>
          </w:tcPr>
          <w:p>
            <w:pPr>
              <w:spacing w:after="0"/>
            </w:pPr>
            <w:r>
              <w:rPr>
                <w:rFonts w:ascii="Calibri" w:cs="Calibri" w:eastAsia="Calibri" w:hAnsi="Calibri"/>
                <w:color w:val="1F2937"/>
                <w:sz w:val="20"/>
                <w:szCs w:val="20"/>
              </w:rPr>
              <w:t xml:space="preserve">On 14 June 2025, MCG initiated a Class II product recall for organic butter lettuce supplied by Fresh Direct NL after routine QC testing at Rotterdam DC detected Listeria monocytogenes. The recall affected 12,400 units across 210 stores in 4 EU markets. Full traceability took 11 days — 10 days beyond the 24-hour regulatory target — because tracing required manual cross-referencing across 4 disconnected systems.</w:t>
            </w:r>
          </w:p>
        </w:tc>
      </w:tr>
    </w:tbl>
    <w:p>
      <w:pPr>
        <w:pBdr>
          <w:bottom w:val="single" w:color="0D7C8F" w:sz="2" w:space="4"/>
        </w:pBdr>
        <w:spacing w:after="160" w:before="360"/>
      </w:pPr>
      <w:r>
        <w:rPr>
          <w:rFonts w:ascii="Calibri" w:cs="Calibri" w:eastAsia="Calibri" w:hAnsi="Calibri"/>
          <w:b/>
          <w:bCs/>
          <w:color w:val="1B2A4A"/>
          <w:sz w:val="30"/>
          <w:szCs w:val="30"/>
        </w:rPr>
        <w:t xml:space="preserve">2. Detection and Initial Response</w:t>
      </w:r>
    </w:p>
    <w:p>
      <w:pPr>
        <w:spacing w:after="80"/>
      </w:pPr>
      <w:r>
        <w:rPr>
          <w:rFonts w:ascii="Calibri" w:cs="Calibri" w:eastAsia="Calibri" w:hAnsi="Calibri"/>
          <w:b/>
          <w:bCs/>
          <w:color w:val="1B2A4A"/>
          <w:sz w:val="21"/>
          <w:szCs w:val="21"/>
        </w:rPr>
        <w:t xml:space="preserve">Detection Method: </w:t>
      </w:r>
      <w:r>
        <w:rPr>
          <w:rFonts w:ascii="Calibri" w:cs="Calibri" w:eastAsia="Calibri" w:hAnsi="Calibri"/>
          <w:color w:val="1F2937"/>
          <w:sz w:val="21"/>
          <w:szCs w:val="21"/>
        </w:rPr>
        <w:t xml:space="preserve">Routine QC sampling at Rotterdam DC, Dock 12 receiving area</w:t>
      </w:r>
    </w:p>
    <w:p>
      <w:pPr>
        <w:spacing w:after="80"/>
      </w:pPr>
      <w:r>
        <w:rPr>
          <w:rFonts w:ascii="Calibri" w:cs="Calibri" w:eastAsia="Calibri" w:hAnsi="Calibri"/>
          <w:b/>
          <w:bCs/>
          <w:color w:val="1B2A4A"/>
          <w:sz w:val="21"/>
          <w:szCs w:val="21"/>
        </w:rPr>
        <w:t xml:space="preserve">Sample ID: </w:t>
      </w:r>
      <w:r>
        <w:rPr>
          <w:rFonts w:ascii="Calibri" w:cs="Calibri" w:eastAsia="Calibri" w:hAnsi="Calibri"/>
          <w:color w:val="1F2937"/>
          <w:sz w:val="21"/>
          <w:szCs w:val="21"/>
        </w:rPr>
        <w:t xml:space="preserve">QC-RTD-2025-06-14-0034</w:t>
      </w:r>
    </w:p>
    <w:p>
      <w:pPr>
        <w:spacing w:after="80"/>
      </w:pPr>
      <w:r>
        <w:rPr>
          <w:rFonts w:ascii="Calibri" w:cs="Calibri" w:eastAsia="Calibri" w:hAnsi="Calibri"/>
          <w:b/>
          <w:bCs/>
          <w:color w:val="1B2A4A"/>
          <w:sz w:val="21"/>
          <w:szCs w:val="21"/>
        </w:rPr>
        <w:t xml:space="preserve">Lab Result: </w:t>
      </w:r>
      <w:r>
        <w:rPr>
          <w:rFonts w:ascii="Calibri" w:cs="Calibri" w:eastAsia="Calibri" w:hAnsi="Calibri"/>
          <w:color w:val="1F2937"/>
          <w:sz w:val="21"/>
          <w:szCs w:val="21"/>
        </w:rPr>
        <w:t xml:space="preserve">Positive for Listeria monocytogenes (confirmed by RIVM reference lab)</w:t>
      </w:r>
    </w:p>
    <w:p>
      <w:pPr>
        <w:spacing w:after="80"/>
      </w:pPr>
      <w:r>
        <w:rPr>
          <w:rFonts w:ascii="Calibri" w:cs="Calibri" w:eastAsia="Calibri" w:hAnsi="Calibri"/>
          <w:b/>
          <w:bCs/>
          <w:color w:val="1B2A4A"/>
          <w:sz w:val="21"/>
          <w:szCs w:val="21"/>
        </w:rPr>
        <w:t xml:space="preserve">Initial Action: </w:t>
      </w:r>
      <w:r>
        <w:rPr>
          <w:rFonts w:ascii="Calibri" w:cs="Calibri" w:eastAsia="Calibri" w:hAnsi="Calibri"/>
          <w:color w:val="1F2937"/>
          <w:sz w:val="21"/>
          <w:szCs w:val="21"/>
        </w:rPr>
        <w:t xml:space="preserve">Immediate hold on all Fresh Direct NL fresh produce at Rotterdam DC</w:t>
      </w:r>
    </w:p>
    <w:p>
      <w:pPr>
        <w:spacing w:after="80"/>
      </w:pPr>
      <w:r>
        <w:rPr>
          <w:rFonts w:ascii="Calibri" w:cs="Calibri" w:eastAsia="Calibri" w:hAnsi="Calibri"/>
          <w:b/>
          <w:bCs/>
          <w:color w:val="1B2A4A"/>
          <w:sz w:val="21"/>
          <w:szCs w:val="21"/>
        </w:rPr>
        <w:t xml:space="preserve">Recall Decision: </w:t>
      </w:r>
      <w:r>
        <w:rPr>
          <w:rFonts w:ascii="Calibri" w:cs="Calibri" w:eastAsia="Calibri" w:hAnsi="Calibri"/>
          <w:color w:val="1F2937"/>
          <w:sz w:val="21"/>
          <w:szCs w:val="21"/>
        </w:rPr>
        <w:t xml:space="preserve">Made within 2 hours of lab confirmation by Dr. Elena Vasquez (CCO)</w:t>
      </w:r>
    </w:p>
    <w:p>
      <w:pPr>
        <w:spacing w:after="120"/>
        <w:jc w:val="left"/>
      </w:pPr>
      <w:r>
        <w:rPr>
          <w:rFonts w:ascii="Calibri" w:cs="Calibri" w:eastAsia="Calibri" w:hAnsi="Calibri"/>
          <w:b w:val="false"/>
          <w:bCs w:val="false"/>
          <w:i w:val="false"/>
          <w:iCs w:val="false"/>
          <w:color w:val="1F2937"/>
          <w:sz w:val="21"/>
          <w:szCs w:val="21"/>
        </w:rPr>
        <w:t xml:space="preserve">Per SOP-SC-001 (Product Recall Procedure), a recall team was assembled within 4 hours including representatives from Quality, Warehouse Ops, Logistics, IT, Legal, and Communications.</w:t>
      </w:r>
    </w:p>
    <w:p>
      <w:pPr>
        <w:pBdr>
          <w:bottom w:val="single" w:color="0D7C8F" w:sz="2" w:space="4"/>
        </w:pBdr>
        <w:spacing w:after="160" w:before="360"/>
      </w:pPr>
      <w:r>
        <w:rPr>
          <w:rFonts w:ascii="Calibri" w:cs="Calibri" w:eastAsia="Calibri" w:hAnsi="Calibri"/>
          <w:b/>
          <w:bCs/>
          <w:color w:val="1B2A4A"/>
          <w:sz w:val="30"/>
          <w:szCs w:val="30"/>
        </w:rPr>
        <w:t xml:space="preserve">3. Traceability Timeline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Day</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Event</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Effort</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Blocker</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Day 1</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Contamination detected; affected lot numbers identified in WMS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 hrs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WMS only — no cross-system link</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Day 2-3</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Cross-reference PO receipts in SAP to identify all inbound lots from Fresh Direct</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12 hrs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Supplier name mismatch between WMS and SAP</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Day 3-5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Trace outbound shipments via Descartes TMS to identify destination stores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15 hrs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TMS uses shipment IDs, not lot numbers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Day 5-8</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Verify store-level receipt by lot number</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18 hrs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Only 32% of stores had lot-level tracking</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Day 8-10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Physical shelf audits at 143 stores without lot tracking</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14 hrs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Required dispatching audit teams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Day 11</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Full traceability confirmed — all affected product accounted for</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4 hrs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Final reconciliation</w:t>
            </w:r>
          </w:p>
        </w:tc>
      </w:tr>
    </w:tbl>
    <w:p>
      <w:pPr>
        <w:spacing w:after="80"/>
      </w:pPr>
      <w:r>
        <w:rPr>
          <w:rFonts w:ascii="Calibri" w:cs="Calibri" w:eastAsia="Calibri" w:hAnsi="Calibri"/>
          <w:b/>
          <w:bCs/>
          <w:color w:val="1B2A4A"/>
          <w:sz w:val="21"/>
          <w:szCs w:val="21"/>
        </w:rPr>
        <w:t xml:space="preserve">Total Effort: </w:t>
      </w:r>
      <w:r>
        <w:rPr>
          <w:rFonts w:ascii="Calibri" w:cs="Calibri" w:eastAsia="Calibri" w:hAnsi="Calibri"/>
          <w:color w:val="1F2937"/>
          <w:sz w:val="21"/>
          <w:szCs w:val="21"/>
        </w:rPr>
        <w:t xml:space="preserve">65 person-hours across 4 systems and 12 team members</w:t>
      </w:r>
    </w:p>
    <w:p>
      <w:pPr>
        <w:pBdr>
          <w:bottom w:val="single" w:color="0D7C8F" w:sz="2" w:space="4"/>
        </w:pBdr>
        <w:spacing w:after="160" w:before="360"/>
      </w:pPr>
      <w:r>
        <w:rPr>
          <w:rFonts w:ascii="Calibri" w:cs="Calibri" w:eastAsia="Calibri" w:hAnsi="Calibri"/>
          <w:b/>
          <w:bCs/>
          <w:color w:val="1B2A4A"/>
          <w:sz w:val="30"/>
          <w:szCs w:val="30"/>
        </w:rPr>
        <w:t xml:space="preserve">4. Financial Impact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Category</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Amount</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Notes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Product destruction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€32,400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12,400 units at avg €2.61 per unit</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Customer refunds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€8,200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614 online orders with affected product</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Labor (65 person-hours)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€12,025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Blended rate €185/hr (includes overtime)</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Store audit travel</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€4,500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Teams dispatched to 143 stores in 4 countries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Regulatory filing costs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€3,000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RASFF notification + NVWA filings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Brand/PR impact (estimated)</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€25,000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Social media monitoring, press response, customer comms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Total</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€85,125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
            </w:r>
          </w:p>
        </w:tc>
      </w:tr>
    </w:tbl>
    <w:p>
      <w:pPr>
        <w:pBdr>
          <w:bottom w:val="single" w:color="0D7C8F" w:sz="2" w:space="4"/>
        </w:pBdr>
        <w:spacing w:after="160" w:before="360"/>
      </w:pPr>
      <w:r>
        <w:rPr>
          <w:rFonts w:ascii="Calibri" w:cs="Calibri" w:eastAsia="Calibri" w:hAnsi="Calibri"/>
          <w:b/>
          <w:bCs/>
          <w:color w:val="1B2A4A"/>
          <w:sz w:val="30"/>
          <w:szCs w:val="30"/>
        </w:rPr>
        <w:t xml:space="preserve">5. Root Cause Analysis</w:t>
      </w:r>
    </w:p>
    <w:p>
      <w:pPr>
        <w:spacing w:after="120" w:before="280"/>
      </w:pPr>
      <w:r>
        <w:rPr>
          <w:rFonts w:ascii="Calibri" w:cs="Calibri" w:eastAsia="Calibri" w:hAnsi="Calibri"/>
          <w:b/>
          <w:bCs/>
          <w:color w:val="0D7C8F"/>
          <w:sz w:val="26"/>
          <w:szCs w:val="26"/>
        </w:rPr>
        <w:t xml:space="preserve">5.1 Contamination Source</w:t>
      </w:r>
    </w:p>
    <w:p>
      <w:pPr>
        <w:spacing w:after="120"/>
        <w:jc w:val="left"/>
      </w:pPr>
      <w:r>
        <w:rPr>
          <w:rFonts w:ascii="Calibri" w:cs="Calibri" w:eastAsia="Calibri" w:hAnsi="Calibri"/>
          <w:b w:val="false"/>
          <w:bCs w:val="false"/>
          <w:i w:val="false"/>
          <w:iCs w:val="false"/>
          <w:color w:val="1F2937"/>
          <w:sz w:val="21"/>
          <w:szCs w:val="21"/>
        </w:rPr>
        <w:t xml:space="preserve">Listeria contamination traced to FARM-NL-0042, an undisclosed backup farm near Breda used by Fresh Direct NL. This farm was not in MCG's approved supplier register, had not been subject to MCG's food safety audit program, and was operating with an expired HACCP certification (expired March 2025).</w:t>
      </w:r>
    </w:p>
    <w:p>
      <w:pPr>
        <w:spacing w:after="120" w:before="280"/>
      </w:pPr>
      <w:r>
        <w:rPr>
          <w:rFonts w:ascii="Calibri" w:cs="Calibri" w:eastAsia="Calibri" w:hAnsi="Calibri"/>
          <w:b/>
          <w:bCs/>
          <w:color w:val="0D7C8F"/>
          <w:sz w:val="26"/>
          <w:szCs w:val="26"/>
        </w:rPr>
        <w:t xml:space="preserve">5.2 Systemic Traceability Failure</w:t>
      </w:r>
    </w:p>
    <w:p>
      <w:pPr>
        <w:spacing w:after="120"/>
        <w:jc w:val="left"/>
      </w:pPr>
      <w:r>
        <w:rPr>
          <w:rFonts w:ascii="Calibri" w:cs="Calibri" w:eastAsia="Calibri" w:hAnsi="Calibri"/>
          <w:b w:val="false"/>
          <w:bCs w:val="false"/>
          <w:i w:val="false"/>
          <w:iCs w:val="false"/>
          <w:color w:val="1F2937"/>
          <w:sz w:val="21"/>
          <w:szCs w:val="21"/>
        </w:rPr>
        <w:t xml:space="preserve">MCG's traceability infrastructure requires cross-referencing 4 disconnected systems with no common lot-level key: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System</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What It Knows</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What It Doesn't Know</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SAP S/4HANA</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PO, supplier, receipt date, quantity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Lot-to-store mapping</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Oracle WMS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Lot numbers, storage locations, picks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Outbound store destinations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Descartes TMS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Shipment routes, carrier, delivery status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Product lot numbers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Salesforce Commerce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Customer orders, store assignments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Supplier lot numbers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D7C8F" w:val="solid"/>
          </w:tcPr>
          <w:p>
            <w:pPr>
              <w:spacing w:after="0"/>
            </w:pPr>
            <w:r>
              <w:rPr>
                <w:sz w:val="10"/>
                <w:szCs w:val="10"/>
              </w:rPr>
              <w:t xml:space="preserve"> </w:t>
            </w:r>
          </w:p>
        </w:tc>
        <w:tc>
          <w:tcPr>
            <w:tcW w:type="pct" w:w="99%"/>
            <w:shd w:color="F2F4F7" w:val="solid"/>
            <w:tcMar>
              <w:top w:type="dxa" w:w="80"/>
              <w:left w:type="dxa" w:w="120"/>
              <w:bottom w:type="dxa" w:w="80"/>
              <w:right w:type="dxa" w:w="120"/>
            </w:tcMar>
          </w:tcPr>
          <w:p>
            <w:pPr>
              <w:spacing w:after="0"/>
            </w:pPr>
            <w:r>
              <w:rPr>
                <w:rFonts w:ascii="Calibri" w:cs="Calibri" w:eastAsia="Calibri" w:hAnsi="Calibri"/>
                <w:color w:val="1F2937"/>
                <w:sz w:val="20"/>
                <w:szCs w:val="20"/>
              </w:rPr>
              <w:t xml:space="preserve">No single system can answer: 'Which stores received products from lot LOT-FD-2025-0614?' This is the fundamental traceability gap that Project CLARITY's unified data layer will solve.</w:t>
            </w:r>
          </w:p>
        </w:tc>
      </w:tr>
    </w:tbl>
    <w:p>
      <w:pPr>
        <w:pBdr>
          <w:bottom w:val="single" w:color="0D7C8F" w:sz="2" w:space="4"/>
        </w:pBdr>
        <w:spacing w:after="160" w:before="360"/>
      </w:pPr>
      <w:r>
        <w:rPr>
          <w:rFonts w:ascii="Calibri" w:cs="Calibri" w:eastAsia="Calibri" w:hAnsi="Calibri"/>
          <w:b/>
          <w:bCs/>
          <w:color w:val="1B2A4A"/>
          <w:sz w:val="30"/>
          <w:szCs w:val="30"/>
        </w:rPr>
        <w:t xml:space="preserve">6. Regulatory Outcome</w:t>
      </w:r>
    </w:p>
    <w:p>
      <w:pPr>
        <w:spacing w:after="120"/>
        <w:jc w:val="left"/>
      </w:pPr>
      <w:r>
        <w:rPr>
          <w:rFonts w:ascii="Calibri" w:cs="Calibri" w:eastAsia="Calibri" w:hAnsi="Calibri"/>
          <w:b w:val="false"/>
          <w:bCs w:val="false"/>
          <w:i w:val="false"/>
          <w:iCs w:val="false"/>
          <w:color w:val="1F2937"/>
          <w:sz w:val="21"/>
          <w:szCs w:val="21"/>
        </w:rPr>
        <w:t xml:space="preserve">NVWA issued formal citation NVWA-2025-CIT-04412 on 12 June 2025 during a routine inspection that coincided with the recall period. The citation included 5 findings (detailed in COMP-2025-NVWA). MCG submitted corrective action plan on 15 July 2025. NVWA follow-up inspection expected Q1 2026.</w:t>
      </w:r>
    </w:p>
    <w:p>
      <w:pPr>
        <w:spacing w:after="120"/>
        <w:jc w:val="left"/>
      </w:pPr>
      <w:r>
        <w:rPr>
          <w:rFonts w:ascii="Calibri" w:cs="Calibri" w:eastAsia="Calibri" w:hAnsi="Calibri"/>
          <w:b w:val="false"/>
          <w:bCs w:val="false"/>
          <w:i w:val="false"/>
          <w:iCs w:val="false"/>
          <w:color w:val="1F2937"/>
          <w:sz w:val="21"/>
          <w:szCs w:val="21"/>
        </w:rPr>
        <w:t xml:space="preserve">Additionally, a RASFF (Rapid Alert System for Food and Feed) notification was filed with the European Commission, triggering notification to food safety authorities in DE, BE, and FR.</w:t>
      </w:r>
    </w:p>
    <w:p>
      <w:pPr>
        <w:pBdr>
          <w:bottom w:val="single" w:color="0D7C8F" w:sz="2" w:space="4"/>
        </w:pBdr>
        <w:spacing w:after="160" w:before="360"/>
      </w:pPr>
      <w:r>
        <w:rPr>
          <w:rFonts w:ascii="Calibri" w:cs="Calibri" w:eastAsia="Calibri" w:hAnsi="Calibri"/>
          <w:b/>
          <w:bCs/>
          <w:color w:val="1B2A4A"/>
          <w:sz w:val="30"/>
          <w:szCs w:val="30"/>
        </w:rPr>
        <w:t xml:space="preserve">7. Lessons Learned</w:t>
      </w:r>
    </w:p>
    <w:p>
      <w:pPr>
        <w:spacing w:after="80"/>
        <w:ind w:left="431"/>
      </w:pPr>
      <w:r>
        <w:rPr>
          <w:rFonts w:ascii="Calibri" w:cs="Calibri" w:eastAsia="Calibri" w:hAnsi="Calibri"/>
          <w:b/>
          <w:bCs/>
          <w:color w:val="0D7C8F"/>
          <w:sz w:val="21"/>
          <w:szCs w:val="21"/>
        </w:rPr>
        <w:t xml:space="preserve">1. </w:t>
      </w:r>
      <w:r>
        <w:rPr>
          <w:rFonts w:ascii="Calibri" w:cs="Calibri" w:eastAsia="Calibri" w:hAnsi="Calibri"/>
          <w:b w:val="false"/>
          <w:bCs w:val="false"/>
          <w:color w:val="1F2937"/>
          <w:sz w:val="21"/>
          <w:szCs w:val="21"/>
        </w:rPr>
        <w:t xml:space="preserve">Sub-tier supplier visibility is a critical gap — MCG must require disclosure of all sub-tier suppliers for food products.</w:t>
      </w:r>
    </w:p>
    <w:p>
      <w:pPr>
        <w:spacing w:after="80"/>
        <w:ind w:left="431"/>
      </w:pPr>
      <w:r>
        <w:rPr>
          <w:rFonts w:ascii="Calibri" w:cs="Calibri" w:eastAsia="Calibri" w:hAnsi="Calibri"/>
          <w:b/>
          <w:bCs/>
          <w:color w:val="0D7C8F"/>
          <w:sz w:val="21"/>
          <w:szCs w:val="21"/>
        </w:rPr>
        <w:t xml:space="preserve">2. </w:t>
      </w:r>
      <w:r>
        <w:rPr>
          <w:rFonts w:ascii="Calibri" w:cs="Calibri" w:eastAsia="Calibri" w:hAnsi="Calibri"/>
          <w:b w:val="false"/>
          <w:bCs w:val="false"/>
          <w:color w:val="1F2937"/>
          <w:sz w:val="21"/>
          <w:szCs w:val="21"/>
        </w:rPr>
        <w:t xml:space="preserve">Store-level lot tracking at 32% is woefully inadequate — must reach 90%+ for effective recalls.</w:t>
      </w:r>
    </w:p>
    <w:p>
      <w:pPr>
        <w:spacing w:after="80"/>
        <w:ind w:left="431"/>
      </w:pPr>
      <w:r>
        <w:rPr>
          <w:rFonts w:ascii="Calibri" w:cs="Calibri" w:eastAsia="Calibri" w:hAnsi="Calibri"/>
          <w:b/>
          <w:bCs/>
          <w:color w:val="0D7C8F"/>
          <w:sz w:val="21"/>
          <w:szCs w:val="21"/>
        </w:rPr>
        <w:t xml:space="preserve">3. </w:t>
      </w:r>
      <w:r>
        <w:rPr>
          <w:rFonts w:ascii="Calibri" w:cs="Calibri" w:eastAsia="Calibri" w:hAnsi="Calibri"/>
          <w:b w:val="false"/>
          <w:bCs w:val="false"/>
          <w:color w:val="1F2937"/>
          <w:sz w:val="21"/>
          <w:szCs w:val="21"/>
        </w:rPr>
        <w:t xml:space="preserve">Manual cross-referencing across 4 systems is not sustainable — unified traceability platform required.</w:t>
      </w:r>
    </w:p>
    <w:p>
      <w:pPr>
        <w:spacing w:after="80"/>
        <w:ind w:left="431"/>
      </w:pPr>
      <w:r>
        <w:rPr>
          <w:rFonts w:ascii="Calibri" w:cs="Calibri" w:eastAsia="Calibri" w:hAnsi="Calibri"/>
          <w:b/>
          <w:bCs/>
          <w:color w:val="0D7C8F"/>
          <w:sz w:val="21"/>
          <w:szCs w:val="21"/>
        </w:rPr>
        <w:t xml:space="preserve">4. </w:t>
      </w:r>
      <w:r>
        <w:rPr>
          <w:rFonts w:ascii="Calibri" w:cs="Calibri" w:eastAsia="Calibri" w:hAnsi="Calibri"/>
          <w:b w:val="false"/>
          <w:bCs w:val="false"/>
          <w:color w:val="1F2937"/>
          <w:sz w:val="21"/>
          <w:szCs w:val="21"/>
        </w:rPr>
        <w:t xml:space="preserve">The 24-hour regulatory target is achievable only with connected systems and common data keys.</w:t>
      </w:r>
    </w:p>
    <w:p>
      <w:pPr>
        <w:spacing w:after="0" w:before="400"/>
      </w:pPr>
    </w:p>
    <w:p>
      <w:pPr>
        <w:pBdr>
          <w:bottom w:val="single" w:color="6B7280" w:sz="1" w:space="1"/>
        </w:pBdr>
        <w:spacing w:after="0"/>
      </w:pPr>
      <w:r>
        <w:rPr>
          <w:sz w:val="20"/>
          <w:szCs w:val="20"/>
        </w:rPr>
        <w:t xml:space="preserve">                                                          </w:t>
      </w:r>
    </w:p>
    <w:p>
      <w:pPr>
        <w:spacing w:after="0"/>
      </w:pPr>
      <w:r>
        <w:rPr>
          <w:rFonts w:ascii="Calibri" w:cs="Calibri" w:eastAsia="Calibri" w:hAnsi="Calibri"/>
          <w:b/>
          <w:bCs/>
          <w:color w:val="1B2A4A"/>
          <w:sz w:val="20"/>
          <w:szCs w:val="20"/>
        </w:rPr>
        <w:t xml:space="preserve">Dr. Elena Vasquez</w:t>
      </w:r>
    </w:p>
    <w:p>
      <w:pPr>
        <w:spacing w:after="0"/>
      </w:pPr>
      <w:r>
        <w:rPr>
          <w:rFonts w:ascii="Calibri" w:cs="Calibri" w:eastAsia="Calibri" w:hAnsi="Calibri"/>
          <w:color w:val="6B7280"/>
          <w:sz w:val="19"/>
          <w:szCs w:val="19"/>
        </w:rPr>
        <w:t xml:space="preserve">Chief Compliance Officer</w:t>
      </w:r>
    </w:p>
    <w:p>
      <w:pPr>
        <w:spacing w:after="0"/>
      </w:pPr>
      <w:r>
        <w:rPr>
          <w:rFonts w:ascii="Calibri" w:cs="Calibri" w:eastAsia="Calibri" w:hAnsi="Calibri"/>
          <w:i/>
          <w:iCs/>
          <w:color w:val="6B7280"/>
          <w:sz w:val="19"/>
          <w:szCs w:val="19"/>
        </w:rPr>
        <w:t xml:space="preserve">Legal &amp; Compliance Division</w:t>
      </w:r>
    </w:p>
    <w:sectPr>
      <w:headerReference w:type="default" r:id="rId7"/>
      <w:footerReference w:type="default" r:id="rId8"/>
      <w:pgSz w:w="11906" w:h="16838" w:orient="portrait"/>
      <w:pgMar w:top="1727" w:right="1440" w:bottom="1152"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D7C8F" w:sz="3" w:space="4"/>
      </w:pBdr>
      <w:spacing w:before="0"/>
    </w:pPr>
    <w:r>
      <w:rPr>
        <w:sz w:val="4"/>
        <w:szCs w:val="4"/>
      </w:rPr>
      <w:t xml:space="preserve"/>
    </w:r>
  </w:p>
  <w:p>
    <w:pPr>
      <w:spacing w:after="0" w:before="0"/>
      <w:jc w:val="center"/>
    </w:pPr>
    <w:r>
      <w:rPr>
        <w:rFonts w:ascii="Calibri" w:cs="Calibri" w:eastAsia="Calibri" w:hAnsi="Calibri"/>
        <w:color w:val="6B7280"/>
        <w:sz w:val="14"/>
        <w:szCs w:val="14"/>
      </w:rPr>
      <w:t xml:space="preserve">Meridian Commerce Group  •  </w:t>
    </w:r>
    <w:r>
      <w:rPr>
        <w:rFonts w:ascii="Calibri" w:cs="Calibri" w:eastAsia="Calibri" w:hAnsi="Calibri"/>
        <w:color w:val="6B7280"/>
        <w:sz w:val="14"/>
        <w:szCs w:val="14"/>
      </w:rPr>
      <w:t xml:space="preserve">Weena 505, 3013 AL Rotterdam, Netherlands</w:t>
    </w:r>
  </w:p>
  <w:p>
    <w:pPr>
      <w:spacing w:after="0" w:before="0"/>
      <w:jc w:val="center"/>
    </w:pPr>
    <w:r>
      <w:rPr>
        <w:rFonts w:ascii="Calibri" w:cs="Calibri" w:eastAsia="Calibri" w:hAnsi="Calibri"/>
        <w:color w:val="6B7280"/>
        <w:sz w:val="14"/>
        <w:szCs w:val="14"/>
      </w:rPr>
      <w:t xml:space="preserve">+31 10 798 4000  •  www.meridiancommerce.com  •  info@meridiancommerce.com</w:t>
    </w:r>
  </w:p>
  <w:p>
    <w:pPr>
      <w:spacing w:after="0" w:before="40"/>
      <w:jc w:val="center"/>
    </w:pPr>
    <w:r>
      <w:rPr>
        <w:rFonts w:ascii="Calibri" w:cs="Calibri" w:eastAsia="Calibri" w:hAnsi="Calibri"/>
        <w:b/>
        <w:bCs/>
        <w:color w:val="C4922E"/>
        <w:sz w:val="13"/>
        <w:szCs w:val="13"/>
      </w:rPr>
      <w:t xml:space="preserve">CONFIDENTIAL — </w:t>
    </w:r>
    <w:r>
      <w:rPr>
        <w:rFonts w:ascii="Calibri" w:cs="Calibri" w:eastAsia="Calibri" w:hAnsi="Calibri"/>
        <w:color w:val="6B7280"/>
        <w:sz w:val="13"/>
        <w:szCs w:val="13"/>
      </w:rPr>
      <w:t xml:space="preserve">Page </w:t>
    </w:r>
    <w:r>
      <w:rPr>
        <w:rFonts w:ascii="Calibri" w:cs="Calibri" w:eastAsia="Calibri" w:hAnsi="Calibri"/>
        <w:color w:val="6B7280"/>
        <w:sz w:val="13"/>
        <w:szCs w:val="13"/>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pPr>
    <w:r>
      <w:rPr>
        <w:rFonts w:ascii="Calibri" w:cs="Calibri" w:eastAsia="Calibri" w:hAnsi="Calibri"/>
        <w:b/>
        <w:bCs/>
        <w:color w:val="1B2A4A"/>
        <w:sz w:val="28"/>
        <w:szCs w:val="28"/>
      </w:rPr>
      <w:t xml:space="preserve">MERIDIAN</w:t>
    </w:r>
    <w:r>
      <w:rPr>
        <w:rFonts w:ascii="Calibri" w:cs="Calibri" w:eastAsia="Calibri" w:hAnsi="Calibri"/>
        <w:b w:val="false"/>
        <w:bCs w:val="false"/>
        <w:color w:val="1B2A4A"/>
        <w:sz w:val="28"/>
        <w:szCs w:val="28"/>
      </w:rPr>
      <w:t xml:space="preserve"> COMMERCE </w:t>
    </w:r>
    <w:r>
      <w:rPr>
        <w:rFonts w:ascii="Calibri" w:cs="Calibri" w:eastAsia="Calibri" w:hAnsi="Calibri"/>
        <w:b/>
        <w:bCs/>
        <w:color w:val="0D7C8F"/>
        <w:sz w:val="28"/>
        <w:szCs w:val="28"/>
      </w:rPr>
      <w:t xml:space="preserve">GROUP</w:t>
    </w:r>
  </w:p>
  <w:p>
    <w:pPr>
      <w:spacing w:after="0"/>
    </w:pPr>
    <w:r>
      <w:rPr>
        <w:rFonts w:ascii="Calibri" w:cs="Calibri" w:eastAsia="Calibri" w:hAnsi="Calibri"/>
        <w:i/>
        <w:iCs/>
        <w:color w:val="6B7280"/>
        <w:sz w:val="16"/>
        <w:szCs w:val="16"/>
      </w:rPr>
      <w:t xml:space="preserve">The neighborhood store with global reach</w:t>
    </w:r>
  </w:p>
  <w:p>
    <w:pPr>
      <w:pBdr>
        <w:bottom w:val="single" w:color="0D7C8F" w:sz="6" w:space="4"/>
      </w:pBdr>
      <w:spacing w:after="0"/>
    </w:pPr>
    <w:r>
      <w:rPr>
        <w:sz w:val="4"/>
        <w:szCs w:val="4"/>
      </w:rPr>
      <w:t xml:space="preserve"/>
    </w:r>
  </w:p>
  <w:p>
    <w:pPr>
      <w:spacing w:after="0" w:before="60"/>
      <w:jc w:val="right"/>
    </w:pPr>
    <w:r>
      <w:rPr>
        <w:rFonts w:ascii="Calibri" w:cs="Calibri" w:eastAsia="Calibri" w:hAnsi="Calibri"/>
        <w:b/>
        <w:bCs/>
        <w:caps/>
        <w:color w:val="C4922E"/>
        <w:sz w:val="18"/>
        <w:szCs w:val="18"/>
      </w:rPr>
      <w:t xml:space="preserve">PRODUCT RECALL NOTICE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2"/>
        <w:szCs w:val="22"/>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Calibri" w:cs="Calibri" w:eastAsia="Calibri" w:hAnsi="Calibri"/>
      <w:b/>
      <w:bCs/>
      <w:color w:val="1B2A4A"/>
      <w:sz w:val="32"/>
      <w:szCs w:val="32"/>
    </w:rPr>
  </w:style>
  <w:style w:type="paragraph" w:styleId="Heading2">
    <w:name w:val="Heading 2"/>
    <w:basedOn w:val="Normal"/>
    <w:next w:val="Normal"/>
    <w:qFormat/>
    <w:pPr>
      <w:spacing w:after="160" w:before="300"/>
    </w:pPr>
    <w:rPr>
      <w:rFonts w:ascii="Calibri" w:cs="Calibri" w:eastAsia="Calibri" w:hAnsi="Calibri"/>
      <w:b/>
      <w:bCs/>
      <w:color w:val="0D7C8F"/>
      <w:sz w:val="26"/>
      <w:szCs w:val="26"/>
    </w:rPr>
  </w:style>
  <w:style w:type="paragraph" w:styleId="Heading3">
    <w:name w:val="Heading 3"/>
    <w:basedOn w:val="Normal"/>
    <w:next w:val="Normal"/>
    <w:qFormat/>
    <w:pPr>
      <w:spacing w:after="120" w:before="240"/>
    </w:pPr>
    <w:rPr>
      <w:rFonts w:ascii="Calibri" w:cs="Calibri" w:eastAsia="Calibri" w:hAnsi="Calibri"/>
      <w:b/>
      <w:bCs/>
      <w:color w:val="1B2A4A"/>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2026-02-26T17:32:07.152Z</dcterms:created>
  <dcterms:modified xsi:type="dcterms:W3CDTF">2026-02-26T17:32:07.152Z</dcterms:modified>
</cp:coreProperties>
</file>

<file path=docProps/custom.xml><?xml version="1.0" encoding="utf-8"?>
<Properties xmlns="http://schemas.openxmlformats.org/officeDocument/2006/custom-properties" xmlns:vt="http://schemas.openxmlformats.org/officeDocument/2006/docPropsVTypes"/>
</file>