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137F75"/>
          <w:sz w:val="20"/>
        </w:rPr>
        <w:t>DESIGN REVIEW BRIEF</w:t>
      </w:r>
    </w:p>
    <w:p>
      <w:pPr>
        <w:keepNext/>
        <w:spacing w:after="120"/>
      </w:pPr>
      <w:r>
        <w:rPr>
          <w:rFonts w:ascii="Calibri" w:hAnsi="Calibri"/>
          <w:b/>
          <w:color w:val="17324D"/>
          <w:sz w:val="52"/>
        </w:rPr>
        <w:t>Planning Studio and the</w:t>
        <w:br/>
        <w:t>Central Personal Repository</w:t>
      </w:r>
    </w:p>
    <w:p>
      <w:pPr>
        <w:spacing w:after="320"/>
      </w:pPr>
      <w:r>
        <w:rPr>
          <w:rFonts w:ascii="Calibri" w:hAnsi="Calibri"/>
          <w:color w:val="65758B"/>
          <w:sz w:val="26"/>
        </w:rPr>
        <w:t>A readable, durable foundation for mini-moi’s evolving context, research, design work, and decisions</w:t>
      </w:r>
    </w:p>
    <w:p>
      <w:pPr>
        <w:spacing w:after="40"/>
      </w:pPr>
      <w:r>
        <w:rPr>
          <w:rFonts w:ascii="Calibri" w:hAnsi="Calibri"/>
          <w:b/>
          <w:color w:val="17324D"/>
          <w:sz w:val="21"/>
        </w:rPr>
        <w:t xml:space="preserve">Audience: </w:t>
      </w:r>
      <w:r>
        <w:rPr>
          <w:rFonts w:ascii="Calibri" w:hAnsi="Calibri"/>
          <w:color w:val="1F2933"/>
          <w:sz w:val="21"/>
        </w:rPr>
        <w:t>Grok, Robert, and the mini-moi design team</w:t>
      </w:r>
    </w:p>
    <w:p>
      <w:pPr>
        <w:spacing w:after="40"/>
      </w:pPr>
      <w:r>
        <w:rPr>
          <w:rFonts w:ascii="Calibri" w:hAnsi="Calibri"/>
          <w:b/>
          <w:color w:val="17324D"/>
          <w:sz w:val="21"/>
        </w:rPr>
        <w:t xml:space="preserve">Status: </w:t>
      </w:r>
      <w:r>
        <w:rPr>
          <w:rFonts w:ascii="Calibri" w:hAnsi="Calibri"/>
          <w:color w:val="1F2933"/>
          <w:sz w:val="21"/>
        </w:rPr>
        <w:t>v0.9 design candidate plus recorded post-v0.9 decisions</w:t>
      </w:r>
    </w:p>
    <w:p>
      <w:pPr>
        <w:spacing w:after="40"/>
      </w:pPr>
      <w:r>
        <w:rPr>
          <w:rFonts w:ascii="Calibri" w:hAnsi="Calibri"/>
          <w:b/>
          <w:color w:val="17324D"/>
          <w:sz w:val="21"/>
        </w:rPr>
        <w:t xml:space="preserve">Decision owner: </w:t>
      </w:r>
      <w:r>
        <w:rPr>
          <w:rFonts w:ascii="Calibri" w:hAnsi="Calibri"/>
          <w:color w:val="1F2933"/>
          <w:sz w:val="21"/>
        </w:rPr>
        <w:t>Robert</w:t>
      </w:r>
    </w:p>
    <w:p>
      <w:pPr>
        <w:spacing w:after="40"/>
      </w:pPr>
      <w:r>
        <w:rPr>
          <w:rFonts w:ascii="Calibri" w:hAnsi="Calibri"/>
          <w:b/>
          <w:color w:val="17324D"/>
          <w:sz w:val="21"/>
        </w:rPr>
        <w:t xml:space="preserve">Current mini-moi release: </w:t>
      </w:r>
      <w:r>
        <w:rPr>
          <w:rFonts w:ascii="Calibri" w:hAnsi="Calibri"/>
          <w:color w:val="1F2933"/>
          <w:sz w:val="21"/>
        </w:rPr>
        <w:t>1.1; no 2.0 commitment</w:t>
      </w:r>
    </w:p>
    <w:p>
      <w:pPr>
        <w:spacing w:after="40"/>
      </w:pPr>
      <w:r>
        <w:rPr>
          <w:rFonts w:ascii="Calibri" w:hAnsi="Calibri"/>
          <w:b/>
          <w:color w:val="17324D"/>
          <w:sz w:val="21"/>
        </w:rPr>
        <w:t xml:space="preserve">Requested outcome: </w:t>
      </w:r>
      <w:r>
        <w:rPr>
          <w:rFonts w:ascii="Calibri" w:hAnsi="Calibri"/>
          <w:color w:val="1F2933"/>
          <w:sz w:val="21"/>
        </w:rPr>
        <w:t>Independent design critique before any implementation</w:t>
      </w:r>
    </w:p>
    <w:p>
      <w:pPr>
        <w:spacing w:before="120" w:after="200" w:line="264" w:lineRule="auto"/>
        <w:ind w:left="216" w:right="115"/>
        <w:shd w:fill="E8EEF5"/>
        <w:pBdr>
          <w:left w:val="single" w:sz="18" w:space="8" w:color="137F75"/>
        </w:pBdr>
      </w:pPr>
      <w:r>
        <w:rPr>
          <w:rFonts w:ascii="Calibri" w:hAnsi="Calibri"/>
          <w:b/>
          <w:color w:val="17324D"/>
          <w:sz w:val="22"/>
        </w:rPr>
        <w:t xml:space="preserve">REVIEW QUESTION  </w:t>
      </w:r>
      <w:r>
        <w:rPr>
          <w:rFonts w:ascii="Calibri" w:hAnsi="Calibri"/>
          <w:color w:val="1F2933"/>
          <w:sz w:val="22"/>
        </w:rPr>
        <w:t>Does this design create a low-friction personal memory and planning substrate that remains readable without any application, while still supporting trustworthy automation and future domain reuse?</w:t>
      </w:r>
    </w:p>
    <w:p>
      <w:pPr>
        <w:pStyle w:val="Heading1"/>
      </w:pPr>
      <w:r>
        <w:t>1. Executive summary</w:t>
      </w:r>
    </w:p>
    <w:p>
      <w:pPr>
        <w:widowControl/>
        <w:spacing w:after="120" w:line="264" w:lineRule="auto"/>
      </w:pPr>
      <w:r>
        <w:rPr>
          <w:rFonts w:ascii="Calibri" w:hAnsi="Calibri"/>
          <w:i w:val="0"/>
          <w:color w:val="1F2933"/>
          <w:sz w:val="22"/>
        </w:rPr>
        <w:t>mini-moi is evolving beyond a collection of domain applications. Its most durable value may be the accumulated context that explains what Robert explored, what evidence was gathered, what changed, what was decided, and why. Today that context is spread across conversations, working folders, domain documentation, agent memory, and application state. Valuable material can be difficult to locate, easy to duplicate, and too dependent on the agent or tool that created it.</w:t>
      </w:r>
    </w:p>
    <w:p>
      <w:pPr>
        <w:widowControl/>
        <w:spacing w:after="120" w:line="264" w:lineRule="auto"/>
      </w:pPr>
      <w:r>
        <w:rPr>
          <w:rFonts w:ascii="Calibri" w:hAnsi="Calibri"/>
          <w:i w:val="0"/>
          <w:color w:val="1F2933"/>
          <w:sz w:val="22"/>
        </w:rPr>
        <w:t>The proposed answer is a person-owned Central Personal Repository with Planning Studio as its structured design capability. The repository keeps ordinary, readable files as the durable truth. CoS helps capture and retrieve personal context. Curator contributes research and evidence. Planning Studio preserves exploration and review. Guild controls promotion into roadmaps and implementation. Applications, databases, graph stores, and semantic indexes are replaceable projections over that substrate.</w:t>
      </w:r>
    </w:p>
    <w:p>
      <w:pPr>
        <w:widowControl/>
        <w:spacing w:after="120" w:line="264" w:lineRule="auto"/>
      </w:pPr>
      <w:r>
        <w:rPr>
          <w:rFonts w:ascii="Calibri" w:hAnsi="Calibri"/>
          <w:i w:val="0"/>
          <w:color w:val="1F2933"/>
          <w:sz w:val="22"/>
        </w:rPr>
        <w:t>The design deliberately avoids committing mini-moi to a 2.0 release, a new application, or a database migration. It is a v0.9 design candidate intended for independent review. The first goal is to establish a trustworthy, low-friction way of retaining and revisiting important work. Continued investment must be earned through actual use.</w:t>
      </w:r>
    </w:p>
    <w:p>
      <w:pPr>
        <w:pStyle w:val="Heading1"/>
      </w:pPr>
      <w:r>
        <w:t>2. The problem this design addresses</w:t>
      </w:r>
    </w:p>
    <w:p>
      <w:pPr>
        <w:widowControl/>
        <w:numPr>
          <w:ilvl w:val="0"/>
          <w:numId w:val="10"/>
        </w:numPr>
        <w:spacing w:after="160" w:line="280" w:lineRule="auto"/>
        <w:ind w:left="720" w:hanging="360"/>
      </w:pPr>
      <w:r>
        <w:rPr>
          <w:rFonts w:ascii="Calibri" w:hAnsi="Calibri"/>
          <w:b/>
          <w:color w:val="1F2933"/>
          <w:sz w:val="22"/>
        </w:rPr>
        <w:t>Important work begins before a roadmap exists.</w:t>
      </w:r>
      <w:r>
        <w:rPr>
          <w:rFonts w:ascii="Calibri" w:hAnsi="Calibri"/>
          <w:color w:val="1F2933"/>
          <w:sz w:val="22"/>
        </w:rPr>
        <w:t xml:space="preserve"> A curiosity, interview demo, research question, or design conversation may matter long before it belongs to a product backlog.</w:t>
      </w:r>
    </w:p>
    <w:p>
      <w:pPr>
        <w:widowControl/>
        <w:numPr>
          <w:ilvl w:val="0"/>
          <w:numId w:val="10"/>
        </w:numPr>
        <w:spacing w:after="160" w:line="280" w:lineRule="auto"/>
        <w:ind w:left="720" w:hanging="360"/>
      </w:pPr>
      <w:r>
        <w:rPr>
          <w:rFonts w:ascii="Calibri" w:hAnsi="Calibri"/>
          <w:b/>
          <w:color w:val="1F2933"/>
          <w:sz w:val="22"/>
        </w:rPr>
        <w:t>Ideas cross domain boundaries.</w:t>
      </w:r>
      <w:r>
        <w:rPr>
          <w:rFonts w:ascii="Calibri" w:hAnsi="Calibri"/>
          <w:color w:val="1F2933"/>
          <w:sz w:val="22"/>
        </w:rPr>
        <w:t xml:space="preserve"> The first Curator example began as personal curiosity, produced research artifacts, affected CoS continuity, and raised Guild design questions.</w:t>
      </w:r>
    </w:p>
    <w:p>
      <w:pPr>
        <w:widowControl/>
        <w:numPr>
          <w:ilvl w:val="0"/>
          <w:numId w:val="10"/>
        </w:numPr>
        <w:spacing w:after="160" w:line="280" w:lineRule="auto"/>
        <w:ind w:left="720" w:hanging="360"/>
      </w:pPr>
      <w:r>
        <w:rPr>
          <w:rFonts w:ascii="Calibri" w:hAnsi="Calibri"/>
          <w:b/>
          <w:color w:val="1F2933"/>
          <w:sz w:val="22"/>
        </w:rPr>
        <w:t>Agent memory is not durable authority.</w:t>
      </w:r>
      <w:r>
        <w:rPr>
          <w:rFonts w:ascii="Calibri" w:hAnsi="Calibri"/>
          <w:color w:val="1F2933"/>
          <w:sz w:val="22"/>
        </w:rPr>
        <w:t xml:space="preserve"> Models, tools, prompts, and applications change. A later agent needs actual sources and decisions rather than a reconstructed summary.</w:t>
      </w:r>
    </w:p>
    <w:p>
      <w:pPr>
        <w:widowControl/>
        <w:numPr>
          <w:ilvl w:val="0"/>
          <w:numId w:val="10"/>
        </w:numPr>
        <w:spacing w:after="160" w:line="280" w:lineRule="auto"/>
        <w:ind w:left="720" w:hanging="360"/>
      </w:pPr>
      <w:r>
        <w:rPr>
          <w:rFonts w:ascii="Calibri" w:hAnsi="Calibri"/>
          <w:b/>
          <w:color w:val="1F2933"/>
          <w:sz w:val="22"/>
        </w:rPr>
        <w:t>Working folders are intentionally temporary.</w:t>
      </w:r>
      <w:r>
        <w:rPr>
          <w:rFonts w:ascii="Calibri" w:hAnsi="Calibri"/>
          <w:color w:val="1F2933"/>
          <w:sz w:val="22"/>
        </w:rPr>
        <w:t xml:space="preserve"> The working area is useful during creation but is not an official, durable home for material Robert wants to carry forward.</w:t>
      </w:r>
    </w:p>
    <w:p>
      <w:pPr>
        <w:widowControl/>
        <w:numPr>
          <w:ilvl w:val="0"/>
          <w:numId w:val="10"/>
        </w:numPr>
        <w:spacing w:after="160" w:line="280" w:lineRule="auto"/>
        <w:ind w:left="720" w:hanging="360"/>
      </w:pPr>
      <w:r>
        <w:rPr>
          <w:rFonts w:ascii="Calibri" w:hAnsi="Calibri"/>
          <w:b/>
          <w:color w:val="1F2933"/>
          <w:sz w:val="22"/>
        </w:rPr>
        <w:t>Manual filing and versioning create friction.</w:t>
      </w:r>
      <w:r>
        <w:rPr>
          <w:rFonts w:ascii="Calibri" w:hAnsi="Calibri"/>
          <w:color w:val="1F2933"/>
          <w:sz w:val="22"/>
        </w:rPr>
        <w:t xml:space="preserve"> If Robert must pick a taxonomy, invent an ID, type v0.1, find the prior version, and update registries, important material will not be captured consistently.</w:t>
      </w:r>
    </w:p>
    <w:p>
      <w:pPr>
        <w:widowControl/>
        <w:numPr>
          <w:ilvl w:val="0"/>
          <w:numId w:val="10"/>
        </w:numPr>
        <w:spacing w:after="160" w:line="280" w:lineRule="auto"/>
        <w:ind w:left="720" w:hanging="360"/>
      </w:pPr>
      <w:r>
        <w:rPr>
          <w:rFonts w:ascii="Calibri" w:hAnsi="Calibri"/>
          <w:b/>
          <w:color w:val="1F2933"/>
          <w:sz w:val="22"/>
        </w:rPr>
        <w:t>Machine-oriented storage can become unreadable.</w:t>
      </w:r>
      <w:r>
        <w:rPr>
          <w:rFonts w:ascii="Calibri" w:hAnsi="Calibri"/>
          <w:color w:val="1F2933"/>
          <w:sz w:val="22"/>
        </w:rPr>
        <w:t xml:space="preserve"> Hash directories, database-only records, and generic README files may be technically valid while making ordinary browsing and review worse.</w:t>
      </w:r>
    </w:p>
    <w:p>
      <w:pPr>
        <w:spacing w:before="120" w:after="200" w:line="264" w:lineRule="auto"/>
        <w:ind w:left="216" w:right="115"/>
        <w:shd w:fill="F4F6F9"/>
        <w:pBdr>
          <w:left w:val="single" w:sz="18" w:space="8" w:color="2E74B5"/>
        </w:pBdr>
      </w:pPr>
      <w:r>
        <w:rPr>
          <w:rFonts w:ascii="Calibri" w:hAnsi="Calibri"/>
          <w:b/>
          <w:color w:val="17324D"/>
          <w:sz w:val="22"/>
        </w:rPr>
        <w:t xml:space="preserve">DESIGN THESIS  </w:t>
      </w:r>
      <w:r>
        <w:rPr>
          <w:rFonts w:ascii="Calibri" w:hAnsi="Calibri"/>
          <w:color w:val="1F2933"/>
          <w:sz w:val="22"/>
        </w:rPr>
        <w:t>The durable layer must remain understandable from the filesystem. Automation should reduce work and improve retrieval without becoming the only way to read the repository.</w:t>
      </w:r>
    </w:p>
    <w:p>
      <w:pPr>
        <w:pStyle w:val="Heading1"/>
      </w:pPr>
      <w:r>
        <w:t>3. Goals and explicit non-goals</w:t>
      </w:r>
    </w:p>
    <w:p>
      <w:pPr>
        <w:pStyle w:val="Heading2"/>
      </w:pPr>
      <w:r>
        <w:t>Goals</w:t>
      </w:r>
    </w:p>
    <w:p>
      <w:pPr>
        <w:widowControl/>
        <w:numPr>
          <w:ilvl w:val="0"/>
          <w:numId w:val="10"/>
        </w:numPr>
        <w:spacing w:after="160" w:line="280" w:lineRule="auto"/>
        <w:ind w:left="720" w:hanging="360"/>
      </w:pPr>
      <w:r>
        <w:rPr>
          <w:rFonts w:ascii="Calibri" w:hAnsi="Calibri"/>
          <w:color w:val="1F2933"/>
          <w:sz w:val="22"/>
        </w:rPr>
        <w:t>Preserve sources, successive versions, interpretations, reviews, and decisions without flattening them into one narrative.</w:t>
      </w:r>
    </w:p>
    <w:p>
      <w:pPr>
        <w:widowControl/>
        <w:numPr>
          <w:ilvl w:val="0"/>
          <w:numId w:val="10"/>
        </w:numPr>
        <w:spacing w:after="160" w:line="280" w:lineRule="auto"/>
        <w:ind w:left="720" w:hanging="360"/>
      </w:pPr>
      <w:r>
        <w:rPr>
          <w:rFonts w:ascii="Calibri" w:hAnsi="Calibri"/>
          <w:color w:val="1F2933"/>
          <w:sz w:val="22"/>
        </w:rPr>
        <w:t>Make important context easy for Robert and authorized agents to locate and read directly.</w:t>
      </w:r>
    </w:p>
    <w:p>
      <w:pPr>
        <w:widowControl/>
        <w:numPr>
          <w:ilvl w:val="0"/>
          <w:numId w:val="10"/>
        </w:numPr>
        <w:spacing w:after="160" w:line="280" w:lineRule="auto"/>
        <w:ind w:left="720" w:hanging="360"/>
      </w:pPr>
      <w:r>
        <w:rPr>
          <w:rFonts w:ascii="Calibri" w:hAnsi="Calibri"/>
          <w:color w:val="1F2933"/>
          <w:sz w:val="22"/>
        </w:rPr>
        <w:t>Support work that touches several domains without forcing exclusive folder ownership.</w:t>
      </w:r>
    </w:p>
    <w:p>
      <w:pPr>
        <w:widowControl/>
        <w:numPr>
          <w:ilvl w:val="0"/>
          <w:numId w:val="10"/>
        </w:numPr>
        <w:spacing w:after="160" w:line="280" w:lineRule="auto"/>
        <w:ind w:left="720" w:hanging="360"/>
      </w:pPr>
      <w:r>
        <w:rPr>
          <w:rFonts w:ascii="Calibri" w:hAnsi="Calibri"/>
          <w:color w:val="1F2933"/>
          <w:sz w:val="22"/>
        </w:rPr>
        <w:t>Keep personal state owned by Robert and portable across models, tools, infrastructure, and future mini-moi versions.</w:t>
      </w:r>
    </w:p>
    <w:p>
      <w:pPr>
        <w:widowControl/>
        <w:numPr>
          <w:ilvl w:val="0"/>
          <w:numId w:val="10"/>
        </w:numPr>
        <w:spacing w:after="160" w:line="280" w:lineRule="auto"/>
        <w:ind w:left="720" w:hanging="360"/>
      </w:pPr>
      <w:r>
        <w:rPr>
          <w:rFonts w:ascii="Calibri" w:hAnsi="Calibri"/>
          <w:color w:val="1F2933"/>
          <w:sz w:val="22"/>
        </w:rPr>
        <w:t>Create a disciplined promotion path from exploration to roadmap and implementation.</w:t>
      </w:r>
    </w:p>
    <w:p>
      <w:pPr>
        <w:widowControl/>
        <w:numPr>
          <w:ilvl w:val="0"/>
          <w:numId w:val="10"/>
        </w:numPr>
        <w:spacing w:after="160" w:line="280" w:lineRule="auto"/>
        <w:ind w:left="720" w:hanging="360"/>
      </w:pPr>
      <w:r>
        <w:rPr>
          <w:rFonts w:ascii="Calibri" w:hAnsi="Calibri"/>
          <w:color w:val="1F2933"/>
          <w:sz w:val="22"/>
        </w:rPr>
        <w:t>Learn from real use before introducing more taxonomy, services, databases, or user interfaces.</w:t>
      </w:r>
    </w:p>
    <w:p>
      <w:pPr>
        <w:pStyle w:val="Heading2"/>
      </w:pPr>
      <w:r>
        <w:t>Non-goals for this design pass</w:t>
      </w:r>
    </w:p>
    <w:p>
      <w:pPr>
        <w:widowControl/>
        <w:numPr>
          <w:ilvl w:val="0"/>
          <w:numId w:val="10"/>
        </w:numPr>
        <w:spacing w:after="160" w:line="280" w:lineRule="auto"/>
        <w:ind w:left="720" w:hanging="360"/>
      </w:pPr>
      <w:r>
        <w:rPr>
          <w:rFonts w:ascii="Calibri" w:hAnsi="Calibri"/>
          <w:color w:val="1F2933"/>
          <w:sz w:val="22"/>
        </w:rPr>
        <w:t>Committing mini-moi to release 2.0 or assigning work to a particular 1.x release.</w:t>
      </w:r>
    </w:p>
    <w:p>
      <w:pPr>
        <w:widowControl/>
        <w:numPr>
          <w:ilvl w:val="0"/>
          <w:numId w:val="10"/>
        </w:numPr>
        <w:spacing w:after="160" w:line="280" w:lineRule="auto"/>
        <w:ind w:left="720" w:hanging="360"/>
      </w:pPr>
      <w:r>
        <w:rPr>
          <w:rFonts w:ascii="Calibri" w:hAnsi="Calibri"/>
          <w:color w:val="1F2933"/>
          <w:sz w:val="22"/>
        </w:rPr>
        <w:t>Building a Planning Studio application, registry generator, database, graph, semantic index, or CoS write service.</w:t>
      </w:r>
    </w:p>
    <w:p>
      <w:pPr>
        <w:widowControl/>
        <w:numPr>
          <w:ilvl w:val="0"/>
          <w:numId w:val="10"/>
        </w:numPr>
        <w:spacing w:after="160" w:line="280" w:lineRule="auto"/>
        <w:ind w:left="720" w:hanging="360"/>
      </w:pPr>
      <w:r>
        <w:rPr>
          <w:rFonts w:ascii="Calibri" w:hAnsi="Calibri"/>
          <w:color w:val="1F2933"/>
          <w:sz w:val="22"/>
        </w:rPr>
        <w:t>Automatically retaining every conversation or agent output.</w:t>
      </w:r>
    </w:p>
    <w:p>
      <w:pPr>
        <w:widowControl/>
        <w:numPr>
          <w:ilvl w:val="0"/>
          <w:numId w:val="10"/>
        </w:numPr>
        <w:spacing w:after="160" w:line="280" w:lineRule="auto"/>
        <w:ind w:left="720" w:hanging="360"/>
      </w:pPr>
      <w:r>
        <w:rPr>
          <w:rFonts w:ascii="Calibri" w:hAnsi="Calibri"/>
          <w:color w:val="1F2933"/>
          <w:sz w:val="22"/>
        </w:rPr>
        <w:t>Migrating the existing OpenClaw workspace wholesale.</w:t>
      </w:r>
    </w:p>
    <w:p>
      <w:pPr>
        <w:widowControl/>
        <w:numPr>
          <w:ilvl w:val="0"/>
          <w:numId w:val="10"/>
        </w:numPr>
        <w:spacing w:after="160" w:line="280" w:lineRule="auto"/>
        <w:ind w:left="720" w:hanging="360"/>
      </w:pPr>
      <w:r>
        <w:rPr>
          <w:rFonts w:ascii="Calibri" w:hAnsi="Calibri"/>
          <w:color w:val="1F2933"/>
          <w:sz w:val="22"/>
        </w:rPr>
        <w:t>Designing a commercial offering or shared multi-person state.</w:t>
      </w:r>
    </w:p>
    <w:p>
      <w:pPr>
        <w:pStyle w:val="Heading1"/>
      </w:pPr>
      <w:r>
        <w:t>4. Conceptual operating model</w:t>
      </w:r>
    </w:p>
    <w:p>
      <w:pPr>
        <w:spacing w:before="120" w:after="240"/>
        <w:jc w:val="center"/>
      </w:pPr>
      <w:r>
        <w:rPr>
          <w:rFonts w:ascii="Calibri" w:hAnsi="Calibri"/>
          <w:b/>
          <w:color w:val="17324D"/>
          <w:sz w:val="26"/>
        </w:rPr>
        <w:t>Robert  →  CoS  →  Planning Studio  →  Guild  →  Domain delivery</w:t>
      </w:r>
    </w:p>
    <w:p>
      <w:pPr>
        <w:widowControl/>
        <w:spacing w:after="120" w:line="264" w:lineRule="auto"/>
      </w:pPr>
      <w:r>
        <w:rPr>
          <w:rFonts w:ascii="Calibri" w:hAnsi="Calibri"/>
          <w:i w:val="0"/>
          <w:color w:val="1F2933"/>
          <w:sz w:val="22"/>
        </w:rPr>
        <w:t>This is a responsibility flow, not an ownership hierarchy. Curator and other domains can contribute evidence at multiple points, and Planning Studio records may affect several domains simultaneously. Origin, steward, and domains are independent metadata.</w:t>
      </w:r>
    </w:p>
    <w:tbl>
      <w:tblPr>
        <w:tblW w:type="dxa" w:w="9360"/>
        <w:tblLayout w:type="fixed"/>
        <w:tblLook w:firstColumn="1" w:firstRow="1" w:lastColumn="0" w:lastRow="0" w:noHBand="0" w:noVBand="1" w:val="04A0"/>
        <w:jc w:val="left"/>
        <w:tblInd w:type="dxa" w:w="120"/>
        <w:tblBorders>
          <w:top w:val="single" w:sz="6" w:color="D6DCE3"/>
          <w:left w:val="single" w:sz="6" w:color="D6DCE3"/>
          <w:bottom w:val="single" w:sz="6" w:color="D6DCE3"/>
          <w:right w:val="single" w:sz="6" w:color="D6DCE3"/>
          <w:insideH w:val="single" w:sz="6" w:color="D6DCE3"/>
          <w:insideV w:val="single" w:sz="6" w:color="D6DCE3"/>
        </w:tblBorders>
      </w:tblPr>
      <w:tblGrid>
        <w:gridCol w:w="1500"/>
        <w:gridCol w:w="5400"/>
        <w:gridCol w:w="2460"/>
      </w:tblGrid>
      <w:tr>
        <w:trPr>
          <w:tblHeader w:val="true"/>
        </w:trPr>
        <w:tc>
          <w:tcPr>
            <w:tcW w:type="dxa" w:w="1500"/>
            <w:vAlign w:val="center"/>
            <w:tcMar>
              <w:top w:w="80" w:type="dxa"/>
              <w:start w:w="120" w:type="dxa"/>
              <w:bottom w:w="80" w:type="dxa"/>
              <w:end w:w="120" w:type="dxa"/>
            </w:tcMar>
            <w:shd w:fill="F2F4F7"/>
          </w:tcPr>
          <w:p>
            <w:pPr>
              <w:spacing w:after="0"/>
            </w:pPr>
            <w:r>
              <w:rPr>
                <w:rFonts w:ascii="Calibri" w:hAnsi="Calibri"/>
                <w:b/>
                <w:color w:val="17324D"/>
                <w:sz w:val="19"/>
              </w:rPr>
              <w:t>Role</w:t>
            </w:r>
          </w:p>
        </w:tc>
        <w:tc>
          <w:tcPr>
            <w:tcW w:type="dxa" w:w="5400"/>
            <w:vAlign w:val="center"/>
            <w:tcMar>
              <w:top w:w="80" w:type="dxa"/>
              <w:start w:w="120" w:type="dxa"/>
              <w:bottom w:w="80" w:type="dxa"/>
              <w:end w:w="120" w:type="dxa"/>
            </w:tcMar>
            <w:shd w:fill="F2F4F7"/>
          </w:tcPr>
          <w:p>
            <w:pPr>
              <w:spacing w:after="0"/>
            </w:pPr>
            <w:r>
              <w:rPr>
                <w:rFonts w:ascii="Calibri" w:hAnsi="Calibri"/>
                <w:b/>
                <w:color w:val="17324D"/>
                <w:sz w:val="19"/>
              </w:rPr>
              <w:t>Responsibility</w:t>
            </w:r>
          </w:p>
        </w:tc>
        <w:tc>
          <w:tcPr>
            <w:tcW w:type="dxa" w:w="2460"/>
            <w:vAlign w:val="center"/>
            <w:tcMar>
              <w:top w:w="80" w:type="dxa"/>
              <w:start w:w="120" w:type="dxa"/>
              <w:bottom w:w="80" w:type="dxa"/>
              <w:end w:w="120" w:type="dxa"/>
            </w:tcMar>
            <w:shd w:fill="F2F4F7"/>
          </w:tcPr>
          <w:p>
            <w:pPr>
              <w:spacing w:after="0"/>
            </w:pPr>
            <w:r>
              <w:rPr>
                <w:rFonts w:ascii="Calibri" w:hAnsi="Calibri"/>
                <w:b/>
                <w:color w:val="17324D"/>
                <w:sz w:val="19"/>
              </w:rPr>
              <w:t>Boundary</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Robert</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Chooses what persists and approves promotion or disposition.</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Final authority</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CoS</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Captures and retrieves personal context; connects related work.</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Intake and continuity</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Curator</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Investigates questions and produces sources, briefings, and evidence.</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Research and synthesis</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Planning Studio</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Structures exploration, reviews, lineage, and decisions.</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Design workspace</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Guild</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Controls roadmaps, specifications, reviewed builds, and operation.</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Delivery governance</w:t>
            </w:r>
          </w:p>
        </w:tc>
      </w:tr>
      <w:tr>
        <w:tc>
          <w:tcPr>
            <w:tcW w:type="dxa" w:w="1500"/>
            <w:vAlign w:val="center"/>
            <w:tcMar>
              <w:top w:w="80" w:type="dxa"/>
              <w:start w:w="120" w:type="dxa"/>
              <w:bottom w:w="80" w:type="dxa"/>
              <w:end w:w="120" w:type="dxa"/>
            </w:tcMar>
          </w:tcPr>
          <w:p>
            <w:pPr>
              <w:spacing w:after="0" w:line="252" w:lineRule="auto"/>
            </w:pPr>
            <w:r>
              <w:rPr>
                <w:rFonts w:ascii="Calibri" w:hAnsi="Calibri"/>
                <w:color w:val="1F2933"/>
                <w:sz w:val="19"/>
              </w:rPr>
              <w:t>Domains</w:t>
            </w:r>
          </w:p>
        </w:tc>
        <w:tc>
          <w:tcPr>
            <w:tcW w:type="dxa" w:w="5400"/>
            <w:vAlign w:val="center"/>
            <w:tcMar>
              <w:top w:w="80" w:type="dxa"/>
              <w:start w:w="120" w:type="dxa"/>
              <w:bottom w:w="80" w:type="dxa"/>
              <w:end w:w="120" w:type="dxa"/>
            </w:tcMar>
          </w:tcPr>
          <w:p>
            <w:pPr>
              <w:spacing w:after="0" w:line="252" w:lineRule="auto"/>
            </w:pPr>
            <w:r>
              <w:rPr>
                <w:rFonts w:ascii="Calibri" w:hAnsi="Calibri"/>
                <w:color w:val="1F2933"/>
                <w:sz w:val="19"/>
              </w:rPr>
              <w:t>Contribute evidence and consume approved reusable capabilities.</w:t>
            </w:r>
          </w:p>
        </w:tc>
        <w:tc>
          <w:tcPr>
            <w:tcW w:type="dxa" w:w="2460"/>
            <w:vAlign w:val="center"/>
            <w:tcMar>
              <w:top w:w="80" w:type="dxa"/>
              <w:start w:w="120" w:type="dxa"/>
              <w:bottom w:w="80" w:type="dxa"/>
              <w:end w:w="120" w:type="dxa"/>
            </w:tcMar>
          </w:tcPr>
          <w:p>
            <w:pPr>
              <w:spacing w:after="0" w:line="252" w:lineRule="auto"/>
            </w:pPr>
            <w:r>
              <w:rPr>
                <w:rFonts w:ascii="Calibri" w:hAnsi="Calibri"/>
                <w:color w:val="1F2933"/>
                <w:sz w:val="19"/>
              </w:rPr>
              <w:t>Execution context</w:t>
            </w:r>
          </w:p>
        </w:tc>
      </w:tr>
    </w:tbl>
    <w:p>
      <w:pPr>
        <w:spacing w:after="40"/>
      </w:pPr>
    </w:p>
    <w:p>
      <w:pPr>
        <w:pStyle w:val="Heading1"/>
      </w:pPr>
      <w:r>
        <w:t>5. Durable capture and lifecycle</w:t>
      </w:r>
    </w:p>
    <w:p>
      <w:pPr>
        <w:widowControl/>
        <w:spacing w:after="120" w:line="264" w:lineRule="auto"/>
      </w:pPr>
      <w:r>
        <w:rPr>
          <w:rFonts w:ascii="Calibri" w:hAnsi="Calibri"/>
          <w:i w:val="0"/>
          <w:color w:val="1F2933"/>
          <w:sz w:val="22"/>
        </w:rPr>
        <w:t>A conversation or generated file is not automatically durable. A record enters Planning Studio when Robert explicitly asks that it be saved or deliberately places it into the intake area. Agents may recommend capture, but they do not infer that all activity belongs in long-term memory.</w:t>
      </w:r>
    </w:p>
    <w:p>
      <w:pPr>
        <w:widowControl/>
        <w:numPr>
          <w:ilvl w:val="0"/>
          <w:numId w:val="11"/>
        </w:numPr>
        <w:spacing w:after="160" w:line="280" w:lineRule="auto"/>
        <w:ind w:left="720" w:hanging="360"/>
      </w:pPr>
      <w:r>
        <w:rPr>
          <w:rFonts w:ascii="Calibri" w:hAnsi="Calibri"/>
          <w:b/>
          <w:color w:val="1F2933"/>
          <w:sz w:val="22"/>
        </w:rPr>
        <w:t xml:space="preserve">Capture. </w:t>
      </w:r>
      <w:r>
        <w:rPr>
          <w:rFonts w:ascii="Calibri" w:hAnsi="Calibri"/>
          <w:color w:val="1F2933"/>
          <w:sz w:val="22"/>
        </w:rPr>
        <w:t>Preserve the supplied source unchanged and mint minimum metadata.</w:t>
      </w:r>
    </w:p>
    <w:p>
      <w:pPr>
        <w:widowControl/>
        <w:numPr>
          <w:ilvl w:val="0"/>
          <w:numId w:val="11"/>
        </w:numPr>
        <w:spacing w:after="160" w:line="280" w:lineRule="auto"/>
        <w:ind w:left="720" w:hanging="360"/>
      </w:pPr>
      <w:r>
        <w:rPr>
          <w:rFonts w:ascii="Calibri" w:hAnsi="Calibri"/>
          <w:b/>
          <w:color w:val="1F2933"/>
          <w:sz w:val="22"/>
        </w:rPr>
        <w:t xml:space="preserve">Classify. </w:t>
      </w:r>
      <w:r>
        <w:rPr>
          <w:rFonts w:ascii="Calibri" w:hAnsi="Calibri"/>
          <w:color w:val="1F2933"/>
          <w:sz w:val="22"/>
        </w:rPr>
        <w:t>Resolve the stable series, relevant domains, relationships, and steward without blocking intake on perfect taxonomy.</w:t>
      </w:r>
    </w:p>
    <w:p>
      <w:pPr>
        <w:widowControl/>
        <w:numPr>
          <w:ilvl w:val="0"/>
          <w:numId w:val="11"/>
        </w:numPr>
        <w:spacing w:after="160" w:line="280" w:lineRule="auto"/>
        <w:ind w:left="720" w:hanging="360"/>
      </w:pPr>
      <w:r>
        <w:rPr>
          <w:rFonts w:ascii="Calibri" w:hAnsi="Calibri"/>
          <w:b/>
          <w:color w:val="1F2933"/>
          <w:sz w:val="22"/>
        </w:rPr>
        <w:t xml:space="preserve">Explore. </w:t>
      </w:r>
      <w:r>
        <w:rPr>
          <w:rFonts w:ascii="Calibri" w:hAnsi="Calibri"/>
          <w:color w:val="1F2933"/>
          <w:sz w:val="22"/>
        </w:rPr>
        <w:t>Add separate notes, research, alternatives, and critiques while preserving the original source.</w:t>
      </w:r>
    </w:p>
    <w:p>
      <w:pPr>
        <w:widowControl/>
        <w:numPr>
          <w:ilvl w:val="0"/>
          <w:numId w:val="11"/>
        </w:numPr>
        <w:spacing w:after="160" w:line="280" w:lineRule="auto"/>
        <w:ind w:left="720" w:hanging="360"/>
      </w:pPr>
      <w:r>
        <w:rPr>
          <w:rFonts w:ascii="Calibri" w:hAnsi="Calibri"/>
          <w:b/>
          <w:color w:val="1F2933"/>
          <w:sz w:val="22"/>
        </w:rPr>
        <w:t xml:space="preserve">Review. </w:t>
      </w:r>
      <w:r>
        <w:rPr>
          <w:rFonts w:ascii="Calibri" w:hAnsi="Calibri"/>
          <w:color w:val="1F2933"/>
          <w:sz w:val="22"/>
        </w:rPr>
        <w:t>Freeze cited or submitted versions and obtain independent design review.</w:t>
      </w:r>
    </w:p>
    <w:p>
      <w:pPr>
        <w:widowControl/>
        <w:numPr>
          <w:ilvl w:val="0"/>
          <w:numId w:val="11"/>
        </w:numPr>
        <w:spacing w:after="160" w:line="280" w:lineRule="auto"/>
        <w:ind w:left="720" w:hanging="360"/>
      </w:pPr>
      <w:r>
        <w:rPr>
          <w:rFonts w:ascii="Calibri" w:hAnsi="Calibri"/>
          <w:b/>
          <w:color w:val="1F2933"/>
          <w:sz w:val="22"/>
        </w:rPr>
        <w:t xml:space="preserve">Decide. </w:t>
      </w:r>
      <w:r>
        <w:rPr>
          <w:rFonts w:ascii="Calibri" w:hAnsi="Calibri"/>
          <w:color w:val="1F2933"/>
          <w:sz w:val="22"/>
        </w:rPr>
        <w:t>Robert records a dated disposition and reasoning. Later decisions supersede rather than rewrite.</w:t>
      </w:r>
    </w:p>
    <w:p>
      <w:pPr>
        <w:widowControl/>
        <w:numPr>
          <w:ilvl w:val="0"/>
          <w:numId w:val="11"/>
        </w:numPr>
        <w:spacing w:after="160" w:line="280" w:lineRule="auto"/>
        <w:ind w:left="720" w:hanging="360"/>
      </w:pPr>
      <w:r>
        <w:rPr>
          <w:rFonts w:ascii="Calibri" w:hAnsi="Calibri"/>
          <w:b/>
          <w:color w:val="1F2933"/>
          <w:sz w:val="22"/>
        </w:rPr>
        <w:t xml:space="preserve">Promote or archive. </w:t>
      </w:r>
      <w:r>
        <w:rPr>
          <w:rFonts w:ascii="Calibri" w:hAnsi="Calibri"/>
          <w:color w:val="1F2933"/>
          <w:sz w:val="22"/>
        </w:rPr>
        <w:t>Approved direction enters Guild’s delivery path; inactive work remains visible with its disposition.</w:t>
      </w:r>
    </w:p>
    <w:p>
      <w:pPr>
        <w:pStyle w:val="Heading1"/>
      </w:pPr>
      <w:r>
        <w:t>6. Record model and readable storage</w:t>
      </w:r>
    </w:p>
    <w:p>
      <w:pPr>
        <w:widowControl/>
        <w:spacing w:after="120" w:line="264" w:lineRule="auto"/>
      </w:pPr>
      <w:r>
        <w:rPr>
          <w:rFonts w:ascii="Calibri" w:hAnsi="Calibri"/>
          <w:i w:val="0"/>
          <w:color w:val="1F2933"/>
          <w:sz w:val="22"/>
        </w:rPr>
        <w:t>The intake model has only three top-level record types. Kind may refine a note as a capture, briefing, proposal, review, design, initiative, or pattern after intake.</w:t>
      </w:r>
    </w:p>
    <w:tbl>
      <w:tblPr>
        <w:tblW w:type="dxa" w:w="9360"/>
        <w:tblLayout w:type="fixed"/>
        <w:tblLook w:firstColumn="1" w:firstRow="1" w:lastColumn="0" w:lastRow="0" w:noHBand="0" w:noVBand="1" w:val="04A0"/>
        <w:jc w:val="left"/>
        <w:tblInd w:type="dxa" w:w="120"/>
        <w:tblBorders>
          <w:top w:val="single" w:sz="6" w:color="D6DCE3"/>
          <w:left w:val="single" w:sz="6" w:color="D6DCE3"/>
          <w:bottom w:val="single" w:sz="6" w:color="D6DCE3"/>
          <w:right w:val="single" w:sz="6" w:color="D6DCE3"/>
          <w:insideH w:val="single" w:sz="6" w:color="D6DCE3"/>
          <w:insideV w:val="single" w:sz="6" w:color="D6DCE3"/>
        </w:tblBorders>
      </w:tblPr>
      <w:tblGrid>
        <w:gridCol w:w="1300"/>
        <w:gridCol w:w="3400"/>
        <w:gridCol w:w="4660"/>
      </w:tblGrid>
      <w:tr>
        <w:trPr>
          <w:tblHeader w:val="true"/>
        </w:trPr>
        <w:tc>
          <w:tcPr>
            <w:tcW w:type="dxa" w:w="1300"/>
            <w:vAlign w:val="center"/>
            <w:tcMar>
              <w:top w:w="80" w:type="dxa"/>
              <w:start w:w="120" w:type="dxa"/>
              <w:bottom w:w="80" w:type="dxa"/>
              <w:end w:w="120" w:type="dxa"/>
            </w:tcMar>
            <w:shd w:fill="F2F4F7"/>
          </w:tcPr>
          <w:p>
            <w:pPr>
              <w:spacing w:after="0"/>
            </w:pPr>
            <w:r>
              <w:rPr>
                <w:rFonts w:ascii="Calibri" w:hAnsi="Calibri"/>
                <w:b/>
                <w:color w:val="17324D"/>
                <w:sz w:val="19"/>
              </w:rPr>
              <w:t>Type</w:t>
            </w:r>
          </w:p>
        </w:tc>
        <w:tc>
          <w:tcPr>
            <w:tcW w:type="dxa" w:w="3400"/>
            <w:vAlign w:val="center"/>
            <w:tcMar>
              <w:top w:w="80" w:type="dxa"/>
              <w:start w:w="120" w:type="dxa"/>
              <w:bottom w:w="80" w:type="dxa"/>
              <w:end w:w="120" w:type="dxa"/>
            </w:tcMar>
            <w:shd w:fill="F2F4F7"/>
          </w:tcPr>
          <w:p>
            <w:pPr>
              <w:spacing w:after="0"/>
            </w:pPr>
            <w:r>
              <w:rPr>
                <w:rFonts w:ascii="Calibri" w:hAnsi="Calibri"/>
                <w:b/>
                <w:color w:val="17324D"/>
                <w:sz w:val="19"/>
              </w:rPr>
              <w:t>Purpose</w:t>
            </w:r>
          </w:p>
        </w:tc>
        <w:tc>
          <w:tcPr>
            <w:tcW w:type="dxa" w:w="4660"/>
            <w:vAlign w:val="center"/>
            <w:tcMar>
              <w:top w:w="80" w:type="dxa"/>
              <w:start w:w="120" w:type="dxa"/>
              <w:bottom w:w="80" w:type="dxa"/>
              <w:end w:w="120" w:type="dxa"/>
            </w:tcMar>
            <w:shd w:fill="F2F4F7"/>
          </w:tcPr>
          <w:p>
            <w:pPr>
              <w:spacing w:after="0"/>
            </w:pPr>
            <w:r>
              <w:rPr>
                <w:rFonts w:ascii="Calibri" w:hAnsi="Calibri"/>
                <w:b/>
                <w:color w:val="17324D"/>
                <w:sz w:val="19"/>
              </w:rPr>
              <w:t>Retention rule</w:t>
            </w:r>
          </w:p>
        </w:tc>
      </w:tr>
      <w:tr>
        <w:tc>
          <w:tcPr>
            <w:tcW w:type="dxa" w:w="1300"/>
            <w:vAlign w:val="center"/>
            <w:tcMar>
              <w:top w:w="80" w:type="dxa"/>
              <w:start w:w="120" w:type="dxa"/>
              <w:bottom w:w="80" w:type="dxa"/>
              <w:end w:w="120" w:type="dxa"/>
            </w:tcMar>
          </w:tcPr>
          <w:p>
            <w:pPr>
              <w:spacing w:after="0" w:line="252" w:lineRule="auto"/>
            </w:pPr>
            <w:r>
              <w:rPr>
                <w:rFonts w:ascii="Calibri" w:hAnsi="Calibri"/>
                <w:color w:val="1F2933"/>
                <w:sz w:val="19"/>
              </w:rPr>
              <w:t>source</w:t>
            </w:r>
          </w:p>
        </w:tc>
        <w:tc>
          <w:tcPr>
            <w:tcW w:type="dxa" w:w="3400"/>
            <w:vAlign w:val="center"/>
            <w:tcMar>
              <w:top w:w="80" w:type="dxa"/>
              <w:start w:w="120" w:type="dxa"/>
              <w:bottom w:w="80" w:type="dxa"/>
              <w:end w:w="120" w:type="dxa"/>
            </w:tcMar>
          </w:tcPr>
          <w:p>
            <w:pPr>
              <w:spacing w:after="0" w:line="252" w:lineRule="auto"/>
            </w:pPr>
            <w:r>
              <w:rPr>
                <w:rFonts w:ascii="Calibri" w:hAnsi="Calibri"/>
                <w:color w:val="1F2933"/>
                <w:sz w:val="19"/>
              </w:rPr>
              <w:t>Unchanged user-provided or external material</w:t>
            </w:r>
          </w:p>
        </w:tc>
        <w:tc>
          <w:tcPr>
            <w:tcW w:type="dxa" w:w="4660"/>
            <w:vAlign w:val="center"/>
            <w:tcMar>
              <w:top w:w="80" w:type="dxa"/>
              <w:start w:w="120" w:type="dxa"/>
              <w:bottom w:w="80" w:type="dxa"/>
              <w:end w:w="120" w:type="dxa"/>
            </w:tcMar>
          </w:tcPr>
          <w:p>
            <w:pPr>
              <w:spacing w:after="0" w:line="252" w:lineRule="auto"/>
            </w:pPr>
            <w:r>
              <w:rPr>
                <w:rFonts w:ascii="Calibri" w:hAnsi="Calibri"/>
                <w:color w:val="1F2933"/>
                <w:sz w:val="19"/>
              </w:rPr>
              <w:t>Every received revision retained; source bytes never edited</w:t>
            </w:r>
          </w:p>
        </w:tc>
      </w:tr>
      <w:tr>
        <w:tc>
          <w:tcPr>
            <w:tcW w:type="dxa" w:w="1300"/>
            <w:vAlign w:val="center"/>
            <w:tcMar>
              <w:top w:w="80" w:type="dxa"/>
              <w:start w:w="120" w:type="dxa"/>
              <w:bottom w:w="80" w:type="dxa"/>
              <w:end w:w="120" w:type="dxa"/>
            </w:tcMar>
          </w:tcPr>
          <w:p>
            <w:pPr>
              <w:spacing w:after="0" w:line="252" w:lineRule="auto"/>
            </w:pPr>
            <w:r>
              <w:rPr>
                <w:rFonts w:ascii="Calibri" w:hAnsi="Calibri"/>
                <w:color w:val="1F2933"/>
                <w:sz w:val="19"/>
              </w:rPr>
              <w:t>note</w:t>
            </w:r>
          </w:p>
        </w:tc>
        <w:tc>
          <w:tcPr>
            <w:tcW w:type="dxa" w:w="3400"/>
            <w:vAlign w:val="center"/>
            <w:tcMar>
              <w:top w:w="80" w:type="dxa"/>
              <w:start w:w="120" w:type="dxa"/>
              <w:bottom w:w="80" w:type="dxa"/>
              <w:end w:w="120" w:type="dxa"/>
            </w:tcMar>
          </w:tcPr>
          <w:p>
            <w:pPr>
              <w:spacing w:after="0" w:line="252" w:lineRule="auto"/>
            </w:pPr>
            <w:r>
              <w:rPr>
                <w:rFonts w:ascii="Calibri" w:hAnsi="Calibri"/>
                <w:color w:val="1F2933"/>
                <w:sz w:val="19"/>
              </w:rPr>
              <w:t>Captures, briefings, proposals, reviews, designs, initiatives</w:t>
            </w:r>
          </w:p>
        </w:tc>
        <w:tc>
          <w:tcPr>
            <w:tcW w:type="dxa" w:w="4660"/>
            <w:vAlign w:val="center"/>
            <w:tcMar>
              <w:top w:w="80" w:type="dxa"/>
              <w:start w:w="120" w:type="dxa"/>
              <w:bottom w:w="80" w:type="dxa"/>
              <w:end w:w="120" w:type="dxa"/>
            </w:tcMar>
          </w:tcPr>
          <w:p>
            <w:pPr>
              <w:spacing w:after="0" w:line="252" w:lineRule="auto"/>
            </w:pPr>
            <w:r>
              <w:rPr>
                <w:rFonts w:ascii="Calibri" w:hAnsi="Calibri"/>
                <w:color w:val="1F2933"/>
                <w:sz w:val="19"/>
              </w:rPr>
              <w:t>Working during intake; reviewed or cited revisions frozen</w:t>
            </w:r>
          </w:p>
        </w:tc>
      </w:tr>
      <w:tr>
        <w:tc>
          <w:tcPr>
            <w:tcW w:type="dxa" w:w="1300"/>
            <w:vAlign w:val="center"/>
            <w:tcMar>
              <w:top w:w="80" w:type="dxa"/>
              <w:start w:w="120" w:type="dxa"/>
              <w:bottom w:w="80" w:type="dxa"/>
              <w:end w:w="120" w:type="dxa"/>
            </w:tcMar>
          </w:tcPr>
          <w:p>
            <w:pPr>
              <w:spacing w:after="0" w:line="252" w:lineRule="auto"/>
            </w:pPr>
            <w:r>
              <w:rPr>
                <w:rFonts w:ascii="Calibri" w:hAnsi="Calibri"/>
                <w:color w:val="1F2933"/>
                <w:sz w:val="19"/>
              </w:rPr>
              <w:t>decision</w:t>
            </w:r>
          </w:p>
        </w:tc>
        <w:tc>
          <w:tcPr>
            <w:tcW w:type="dxa" w:w="3400"/>
            <w:vAlign w:val="center"/>
            <w:tcMar>
              <w:top w:w="80" w:type="dxa"/>
              <w:start w:w="120" w:type="dxa"/>
              <w:bottom w:w="80" w:type="dxa"/>
              <w:end w:w="120" w:type="dxa"/>
            </w:tcMar>
          </w:tcPr>
          <w:p>
            <w:pPr>
              <w:spacing w:after="0" w:line="252" w:lineRule="auto"/>
            </w:pPr>
            <w:r>
              <w:rPr>
                <w:rFonts w:ascii="Calibri" w:hAnsi="Calibri"/>
                <w:color w:val="1F2933"/>
                <w:sz w:val="19"/>
              </w:rPr>
              <w:t>Robert’s dated disposition and reasoning</w:t>
            </w:r>
          </w:p>
        </w:tc>
        <w:tc>
          <w:tcPr>
            <w:tcW w:type="dxa" w:w="4660"/>
            <w:vAlign w:val="center"/>
            <w:tcMar>
              <w:top w:w="80" w:type="dxa"/>
              <w:start w:w="120" w:type="dxa"/>
              <w:bottom w:w="80" w:type="dxa"/>
              <w:end w:w="120" w:type="dxa"/>
            </w:tcMar>
          </w:tcPr>
          <w:p>
            <w:pPr>
              <w:spacing w:after="0" w:line="252" w:lineRule="auto"/>
            </w:pPr>
            <w:r>
              <w:rPr>
                <w:rFonts w:ascii="Calibri" w:hAnsi="Calibri"/>
                <w:color w:val="1F2933"/>
                <w:sz w:val="19"/>
              </w:rPr>
              <w:t>Immutable; later decision supersedes rather than rewrites</w:t>
            </w:r>
          </w:p>
        </w:tc>
      </w:tr>
    </w:tbl>
    <w:p>
      <w:pPr>
        <w:spacing w:after="40"/>
      </w:pPr>
    </w:p>
    <w:p>
      <w:pPr>
        <w:pStyle w:val="Heading2"/>
      </w:pPr>
      <w:r>
        <w:t>Readable filesystem as the primary interface</w:t>
      </w:r>
    </w:p>
    <w:p>
      <w:pPr>
        <w:widowControl/>
        <w:spacing w:after="120" w:line="264" w:lineRule="auto"/>
      </w:pPr>
      <w:r>
        <w:rPr>
          <w:rFonts w:ascii="Calibri" w:hAnsi="Calibri"/>
          <w:i w:val="0"/>
          <w:color w:val="1F2933"/>
          <w:sz w:val="22"/>
        </w:rPr>
        <w:t>Ordinary files and folders are the durable substrate. A future tool may index, graph, search, render, or synchronize them, but the repository must still make sense with a file browser, editor, Git client, or simple text reader.</w:t>
      </w:r>
    </w:p>
    <w:p>
      <w:pPr>
        <w:widowControl/>
        <w:numPr>
          <w:ilvl w:val="0"/>
          <w:numId w:val="10"/>
        </w:numPr>
        <w:spacing w:after="160" w:line="280" w:lineRule="auto"/>
        <w:ind w:left="720" w:hanging="360"/>
      </w:pPr>
      <w:r>
        <w:rPr>
          <w:rFonts w:ascii="Calibri" w:hAnsi="Calibri"/>
          <w:color w:val="1F2933"/>
          <w:sz w:val="22"/>
        </w:rPr>
        <w:t>Only the Planning Studio or repository root keeps the generic README.md name.</w:t>
      </w:r>
    </w:p>
    <w:p>
      <w:pPr>
        <w:widowControl/>
        <w:numPr>
          <w:ilvl w:val="0"/>
          <w:numId w:val="10"/>
        </w:numPr>
        <w:spacing w:after="160" w:line="280" w:lineRule="auto"/>
        <w:ind w:left="720" w:hanging="360"/>
      </w:pPr>
      <w:r>
        <w:rPr>
          <w:rFonts w:ascii="Calibri" w:hAnsi="Calibri"/>
          <w:color w:val="1F2933"/>
          <w:sz w:val="22"/>
        </w:rPr>
        <w:t>Useful orientation files use README_&lt;subject&gt;.md so listings and search identify their purpose.</w:t>
      </w:r>
    </w:p>
    <w:p>
      <w:pPr>
        <w:widowControl/>
        <w:numPr>
          <w:ilvl w:val="0"/>
          <w:numId w:val="10"/>
        </w:numPr>
        <w:spacing w:after="160" w:line="280" w:lineRule="auto"/>
        <w:ind w:left="720" w:hanging="360"/>
      </w:pPr>
      <w:r>
        <w:rPr>
          <w:rFonts w:ascii="Calibri" w:hAnsi="Calibri"/>
          <w:color w:val="1F2933"/>
          <w:sz w:val="22"/>
        </w:rPr>
        <w:t>Content records use &lt;descriptive-slug&gt;--&lt;short-ulid&gt;.&lt;extension&gt; and carry the full ULID in metadata.</w:t>
      </w:r>
    </w:p>
    <w:p>
      <w:pPr>
        <w:widowControl/>
        <w:numPr>
          <w:ilvl w:val="0"/>
          <w:numId w:val="10"/>
        </w:numPr>
        <w:spacing w:after="160" w:line="280" w:lineRule="auto"/>
        <w:ind w:left="720" w:hanging="360"/>
      </w:pPr>
      <w:r>
        <w:rPr>
          <w:rFonts w:ascii="Calibri" w:hAnsi="Calibri"/>
          <w:color w:val="1F2933"/>
          <w:sz w:val="22"/>
        </w:rPr>
        <w:t>Empty placeholder orientation files are removed rather than renamed.</w:t>
      </w:r>
    </w:p>
    <w:p>
      <w:pPr>
        <w:widowControl/>
        <w:numPr>
          <w:ilvl w:val="0"/>
          <w:numId w:val="10"/>
        </w:numPr>
        <w:spacing w:after="160" w:line="280" w:lineRule="auto"/>
        <w:ind w:left="720" w:hanging="360"/>
      </w:pPr>
      <w:r>
        <w:rPr>
          <w:rFonts w:ascii="Calibri" w:hAnsi="Calibri"/>
          <w:color w:val="1F2933"/>
          <w:sz w:val="22"/>
        </w:rPr>
        <w:t>Initiative narratives become records with metadata in the record instead of a narrative README plus JSON sidecar.</w:t>
      </w:r>
    </w:p>
    <w:p>
      <w:pPr>
        <w:pStyle w:val="Heading2"/>
      </w:pPr>
      <w:r>
        <w:t>Visible source history</w:t>
      </w:r>
    </w:p>
    <w:p>
      <w:pPr>
        <w:widowControl/>
        <w:spacing w:after="120" w:line="264" w:lineRule="auto"/>
      </w:pPr>
      <w:r>
        <w:rPr>
          <w:rFonts w:ascii="Calibri" w:hAnsi="Calibri"/>
          <w:i w:val="0"/>
          <w:color w:val="1F2933"/>
          <w:sz w:val="22"/>
        </w:rPr>
        <w:t>Successive sources remain together in a human-readable series directory. A reviewer can see Revision 1, Revision 2, and Revision 3 directly. The series orientation file shows order, checksum, and supersession. A later source never overwrites or hides an earlier one. Hashes and ULIDs verify identity; they do not replace readable paths.</w:t>
      </w:r>
    </w:p>
    <w:p>
      <w:pPr>
        <w:pStyle w:val="Heading1"/>
      </w:pPr>
      <w:r>
        <w:t>7. Automatic identity and revisioning</w:t>
      </w:r>
    </w:p>
    <w:p>
      <w:pPr>
        <w:spacing w:before="120" w:after="200" w:line="264" w:lineRule="auto"/>
        <w:ind w:left="216" w:right="115"/>
        <w:shd w:fill="E8EEF5"/>
        <w:pBdr>
          <w:left w:val="single" w:sz="18" w:space="8" w:color="137F75"/>
        </w:pBdr>
      </w:pPr>
      <w:r>
        <w:rPr>
          <w:rFonts w:ascii="Calibri" w:hAnsi="Calibri"/>
          <w:b/>
          <w:color w:val="17324D"/>
          <w:sz w:val="22"/>
        </w:rPr>
        <w:t xml:space="preserve">RECORDED REQUIREMENT  </w:t>
      </w:r>
      <w:r>
        <w:rPr>
          <w:rFonts w:ascii="Calibri" w:hAnsi="Calibri"/>
          <w:color w:val="1F2933"/>
          <w:sz w:val="22"/>
        </w:rPr>
        <w:t>Robert should save or drop an artifact; the system should perform the bookkeeping. He should not type v0.1, choose the next counter, mint an ID, construct a filename, or wire the supersession link.</w:t>
      </w:r>
    </w:p>
    <w:p>
      <w:pPr>
        <w:widowControl/>
        <w:numPr>
          <w:ilvl w:val="0"/>
          <w:numId w:val="12"/>
        </w:numPr>
        <w:spacing w:after="160" w:line="280" w:lineRule="auto"/>
        <w:ind w:left="720" w:hanging="360"/>
      </w:pPr>
      <w:r>
        <w:rPr>
          <w:rFonts w:ascii="Calibri" w:hAnsi="Calibri"/>
          <w:color w:val="1F2933"/>
          <w:sz w:val="22"/>
        </w:rPr>
        <w:t>Mint a globally unique, time-sortable ULID without a central human allocator.</w:t>
      </w:r>
    </w:p>
    <w:p>
      <w:pPr>
        <w:widowControl/>
        <w:numPr>
          <w:ilvl w:val="0"/>
          <w:numId w:val="12"/>
        </w:numPr>
        <w:spacing w:after="160" w:line="280" w:lineRule="auto"/>
        <w:ind w:left="720" w:hanging="360"/>
      </w:pPr>
      <w:r>
        <w:rPr>
          <w:rFonts w:ascii="Calibri" w:hAnsi="Calibri"/>
          <w:color w:val="1F2933"/>
          <w:sz w:val="22"/>
        </w:rPr>
        <w:t>Resolve or propose the stable series and assign its next monotonically increasing repository revision.</w:t>
      </w:r>
    </w:p>
    <w:p>
      <w:pPr>
        <w:widowControl/>
        <w:numPr>
          <w:ilvl w:val="0"/>
          <w:numId w:val="12"/>
        </w:numPr>
        <w:spacing w:after="160" w:line="280" w:lineRule="auto"/>
        <w:ind w:left="720" w:hanging="360"/>
      </w:pPr>
      <w:r>
        <w:rPr>
          <w:rFonts w:ascii="Calibri" w:hAnsi="Calibri"/>
          <w:color w:val="1F2933"/>
          <w:sz w:val="22"/>
        </w:rPr>
        <w:t>Set supersedes to the exact prior record when the new artifact continues a series.</w:t>
      </w:r>
    </w:p>
    <w:p>
      <w:pPr>
        <w:widowControl/>
        <w:numPr>
          <w:ilvl w:val="0"/>
          <w:numId w:val="12"/>
        </w:numPr>
        <w:spacing w:after="160" w:line="280" w:lineRule="auto"/>
        <w:ind w:left="720" w:hanging="360"/>
      </w:pPr>
      <w:r>
        <w:rPr>
          <w:rFonts w:ascii="Calibri" w:hAnsi="Calibri"/>
          <w:color w:val="1F2933"/>
          <w:sz w:val="22"/>
        </w:rPr>
        <w:t>Create the descriptive slug and collision-resistant filename.</w:t>
      </w:r>
    </w:p>
    <w:p>
      <w:pPr>
        <w:widowControl/>
        <w:numPr>
          <w:ilvl w:val="0"/>
          <w:numId w:val="12"/>
        </w:numPr>
        <w:spacing w:after="160" w:line="280" w:lineRule="auto"/>
        <w:ind w:left="720" w:hanging="360"/>
      </w:pPr>
      <w:r>
        <w:rPr>
          <w:rFonts w:ascii="Calibri" w:hAnsi="Calibri"/>
          <w:color w:val="1F2933"/>
          <w:sz w:val="22"/>
        </w:rPr>
        <w:t>Calculate and record the source checksum.</w:t>
      </w:r>
    </w:p>
    <w:p>
      <w:pPr>
        <w:widowControl/>
        <w:numPr>
          <w:ilvl w:val="0"/>
          <w:numId w:val="12"/>
        </w:numPr>
        <w:spacing w:after="160" w:line="280" w:lineRule="auto"/>
        <w:ind w:left="720" w:hanging="360"/>
      </w:pPr>
      <w:r>
        <w:rPr>
          <w:rFonts w:ascii="Calibri" w:hAnsi="Calibri"/>
          <w:color w:val="1F2933"/>
          <w:sz w:val="22"/>
        </w:rPr>
        <w:t>Regenerate permitted orientation and registry projections after validation.</w:t>
      </w:r>
    </w:p>
    <w:p>
      <w:pPr>
        <w:widowControl/>
        <w:spacing w:after="120" w:line="264" w:lineRule="auto"/>
      </w:pPr>
      <w:r>
        <w:rPr>
          <w:rFonts w:ascii="Calibri" w:hAnsi="Calibri"/>
          <w:i w:val="0"/>
          <w:color w:val="1F2933"/>
          <w:sz w:val="22"/>
        </w:rPr>
        <w:t>Repository revision is separate from semantic release versioning. If a source calls itself v0.2, that label is retained as source_version; the repository still assigns its own revision. Labels such as v0.9, v1.0, or mini-moi 2.0 require human judgment and are never inferred by intake.</w:t>
      </w:r>
    </w:p>
    <w:p>
      <w:pPr>
        <w:widowControl/>
        <w:spacing w:after="120" w:line="264" w:lineRule="auto"/>
      </w:pPr>
      <w:r>
        <w:rPr>
          <w:rFonts w:ascii="Calibri" w:hAnsi="Calibri"/>
          <w:i w:val="0"/>
          <w:color w:val="1F2933"/>
          <w:sz w:val="22"/>
        </w:rPr>
        <w:t>When series membership is ambiguous, the system may ask Robert whether the artifact continues an existing series. It must not ask him to manage counters or identifiers. A future specification must define concurrency, collision detection, atomic writes, and rollback before automation is built.</w:t>
      </w:r>
    </w:p>
    <w:p>
      <w:pPr>
        <w:pStyle w:val="Heading1"/>
      </w:pPr>
      <w:r>
        <w:t>8. Relationships, domains, and retrieval</w:t>
      </w:r>
    </w:p>
    <w:p>
      <w:pPr>
        <w:widowControl/>
        <w:spacing w:after="120" w:line="264" w:lineRule="auto"/>
      </w:pPr>
      <w:r>
        <w:rPr>
          <w:rFonts w:ascii="Calibri" w:hAnsi="Calibri"/>
          <w:i w:val="0"/>
          <w:color w:val="1F2933"/>
          <w:sz w:val="22"/>
        </w:rPr>
        <w:t>Records can participate in multiple initiatives without copies. Canonical relationships use typed edges such as supports, contradicts, derived_from, reviews, motivates, supersedes, and promoted_to. Wikilinks may improve navigation but are not the only relationship contract because an untyped link does not explain why two records are connected.</w:t>
      </w:r>
    </w:p>
    <w:p>
      <w:pPr>
        <w:widowControl/>
        <w:spacing w:after="120" w:line="264" w:lineRule="auto"/>
      </w:pPr>
      <w:r>
        <w:rPr>
          <w:rFonts w:ascii="Calibri" w:hAnsi="Calibri"/>
          <w:i w:val="0"/>
          <w:color w:val="1F2933"/>
          <w:sz w:val="22"/>
        </w:rPr>
        <w:t>Domains remain a separate, multi-value field for relevance, stewardship, permission, and retrieval. Tags remain an open vocabulary for themes and cross-pollination. Neither folder placement nor the first domain named creates exclusive ownership.</w:t>
      </w:r>
    </w:p>
    <w:p>
      <w:pPr>
        <w:pStyle w:val="Heading1"/>
      </w:pPr>
      <w:r>
        <w:t>9. Projections, infrastructure, and portability</w:t>
      </w:r>
    </w:p>
    <w:p>
      <w:pPr>
        <w:widowControl/>
        <w:spacing w:after="120" w:line="264" w:lineRule="auto"/>
      </w:pPr>
      <w:r>
        <w:rPr>
          <w:rFonts w:ascii="Calibri" w:hAnsi="Calibri"/>
          <w:i w:val="0"/>
          <w:color w:val="1F2933"/>
          <w:sz w:val="22"/>
        </w:rPr>
        <w:t>Markdown, original source payloads, and decision records are the durable layer. Everything else is a projection or replaceable interface. Potential projections include a generated JSON registry, PostgreSQL metadata and full-text search, a graph of typed relationships, semantic retrieval indexes, and Planning Studio or CoS interfaces.</w:t>
      </w:r>
    </w:p>
    <w:p>
      <w:pPr>
        <w:widowControl/>
        <w:numPr>
          <w:ilvl w:val="0"/>
          <w:numId w:val="10"/>
        </w:numPr>
        <w:spacing w:after="160" w:line="280" w:lineRule="auto"/>
        <w:ind w:left="720" w:hanging="360"/>
      </w:pPr>
      <w:r>
        <w:rPr>
          <w:rFonts w:ascii="Calibri" w:hAnsi="Calibri"/>
          <w:b/>
          <w:color w:val="1F2933"/>
          <w:sz w:val="22"/>
        </w:rPr>
        <w:t>Rebuildability.</w:t>
      </w:r>
      <w:r>
        <w:rPr>
          <w:rFonts w:ascii="Calibri" w:hAnsi="Calibri"/>
          <w:color w:val="1F2933"/>
          <w:sz w:val="22"/>
        </w:rPr>
        <w:t xml:space="preserve"> A projection must be reproducible from durable records or have a documented export-and-restore contract.</w:t>
      </w:r>
    </w:p>
    <w:p>
      <w:pPr>
        <w:widowControl/>
        <w:numPr>
          <w:ilvl w:val="0"/>
          <w:numId w:val="10"/>
        </w:numPr>
        <w:spacing w:after="160" w:line="280" w:lineRule="auto"/>
        <w:ind w:left="720" w:hanging="360"/>
      </w:pPr>
      <w:r>
        <w:rPr>
          <w:rFonts w:ascii="Calibri" w:hAnsi="Calibri"/>
          <w:b/>
          <w:color w:val="1F2933"/>
          <w:sz w:val="22"/>
        </w:rPr>
        <w:t>Tool independence.</w:t>
      </w:r>
      <w:r>
        <w:rPr>
          <w:rFonts w:ascii="Calibri" w:hAnsi="Calibri"/>
          <w:color w:val="1F2933"/>
          <w:sz w:val="22"/>
        </w:rPr>
        <w:t xml:space="preserve"> Editors and viewers may help, but none is required to read the repository.</w:t>
      </w:r>
    </w:p>
    <w:p>
      <w:pPr>
        <w:widowControl/>
        <w:numPr>
          <w:ilvl w:val="0"/>
          <w:numId w:val="10"/>
        </w:numPr>
        <w:spacing w:after="160" w:line="280" w:lineRule="auto"/>
        <w:ind w:left="720" w:hanging="360"/>
      </w:pPr>
      <w:r>
        <w:rPr>
          <w:rFonts w:ascii="Calibri" w:hAnsi="Calibri"/>
          <w:b/>
          <w:color w:val="1F2933"/>
          <w:sz w:val="22"/>
        </w:rPr>
        <w:t>Personal ownership.</w:t>
      </w:r>
      <w:r>
        <w:rPr>
          <w:rFonts w:ascii="Calibri" w:hAnsi="Calibri"/>
          <w:color w:val="1F2933"/>
          <w:sz w:val="22"/>
        </w:rPr>
        <w:t xml:space="preserve"> Robert’s context belongs in a future private repository, separate from reusable mini-moi software and clean domain baselines.</w:t>
      </w:r>
    </w:p>
    <w:p>
      <w:pPr>
        <w:widowControl/>
        <w:numPr>
          <w:ilvl w:val="0"/>
          <w:numId w:val="10"/>
        </w:numPr>
        <w:spacing w:after="160" w:line="280" w:lineRule="auto"/>
        <w:ind w:left="720" w:hanging="360"/>
      </w:pPr>
      <w:r>
        <w:rPr>
          <w:rFonts w:ascii="Calibri" w:hAnsi="Calibri"/>
          <w:b/>
          <w:color w:val="1F2933"/>
          <w:sz w:val="22"/>
        </w:rPr>
        <w:t>Portable instances.</w:t>
      </w:r>
      <w:r>
        <w:rPr>
          <w:rFonts w:ascii="Calibri" w:hAnsi="Calibri"/>
          <w:color w:val="1F2933"/>
          <w:sz w:val="22"/>
        </w:rPr>
        <w:t xml:space="preserve"> Another person can begin from reusable applications and seed content without inheriting Robert’s private state.</w:t>
      </w:r>
    </w:p>
    <w:p>
      <w:pPr>
        <w:widowControl/>
        <w:numPr>
          <w:ilvl w:val="0"/>
          <w:numId w:val="10"/>
        </w:numPr>
        <w:spacing w:after="160" w:line="280" w:lineRule="auto"/>
        <w:ind w:left="720" w:hanging="360"/>
      </w:pPr>
      <w:r>
        <w:rPr>
          <w:rFonts w:ascii="Calibri" w:hAnsi="Calibri"/>
          <w:b/>
          <w:color w:val="1F2933"/>
          <w:sz w:val="22"/>
        </w:rPr>
        <w:t>Controlled migration.</w:t>
      </w:r>
      <w:r>
        <w:rPr>
          <w:rFonts w:ascii="Calibri" w:hAnsi="Calibri"/>
          <w:color w:val="1F2933"/>
          <w:sz w:val="22"/>
        </w:rPr>
        <w:t xml:space="preserve"> Existing OpenClaw material is inventoried and migrated by classification; it is not copied wholesale.</w:t>
      </w:r>
    </w:p>
    <w:p>
      <w:pPr>
        <w:pStyle w:val="Heading1"/>
      </w:pPr>
      <w:r>
        <w:t>10. Integrity, security, and durability</w:t>
      </w:r>
    </w:p>
    <w:p>
      <w:pPr>
        <w:widowControl/>
        <w:spacing w:after="120" w:line="264" w:lineRule="auto"/>
      </w:pPr>
      <w:r>
        <w:rPr>
          <w:rFonts w:ascii="Calibri" w:hAnsi="Calibri"/>
          <w:i w:val="0"/>
          <w:color w:val="1F2933"/>
          <w:sz w:val="22"/>
        </w:rPr>
        <w:t>The current files are design artifacts, not a completed control environment. Before real operational use, an approved implementation should address:</w:t>
      </w:r>
    </w:p>
    <w:p>
      <w:pPr>
        <w:widowControl/>
        <w:numPr>
          <w:ilvl w:val="0"/>
          <w:numId w:val="10"/>
        </w:numPr>
        <w:spacing w:after="160" w:line="280" w:lineRule="auto"/>
        <w:ind w:left="720" w:hanging="360"/>
      </w:pPr>
      <w:r>
        <w:rPr>
          <w:rFonts w:ascii="Calibri" w:hAnsi="Calibri"/>
          <w:color w:val="1F2933"/>
          <w:sz w:val="22"/>
        </w:rPr>
        <w:t>Frontmatter validation that reads actual frontmatter and ignores examples in fenced code blocks.</w:t>
      </w:r>
    </w:p>
    <w:p>
      <w:pPr>
        <w:widowControl/>
        <w:numPr>
          <w:ilvl w:val="0"/>
          <w:numId w:val="10"/>
        </w:numPr>
        <w:spacing w:after="160" w:line="280" w:lineRule="auto"/>
        <w:ind w:left="720" w:hanging="360"/>
      </w:pPr>
      <w:r>
        <w:rPr>
          <w:rFonts w:ascii="Calibri" w:hAnsi="Calibri"/>
          <w:color w:val="1F2933"/>
          <w:sz w:val="22"/>
        </w:rPr>
        <w:t>Duplicate ULID and slug detection, source checksum verification, and collision-safe revision assignment.</w:t>
      </w:r>
    </w:p>
    <w:p>
      <w:pPr>
        <w:widowControl/>
        <w:numPr>
          <w:ilvl w:val="0"/>
          <w:numId w:val="10"/>
        </w:numPr>
        <w:spacing w:after="160" w:line="280" w:lineRule="auto"/>
        <w:ind w:left="720" w:hanging="360"/>
      </w:pPr>
      <w:r>
        <w:rPr>
          <w:rFonts w:ascii="Calibri" w:hAnsi="Calibri"/>
          <w:color w:val="1F2933"/>
          <w:sz w:val="22"/>
        </w:rPr>
        <w:t>Secret scanning and explicit sensitivity handling before remote commits.</w:t>
      </w:r>
    </w:p>
    <w:p>
      <w:pPr>
        <w:widowControl/>
        <w:numPr>
          <w:ilvl w:val="0"/>
          <w:numId w:val="10"/>
        </w:numPr>
        <w:spacing w:after="160" w:line="280" w:lineRule="auto"/>
        <w:ind w:left="720" w:hanging="360"/>
      </w:pPr>
      <w:r>
        <w:rPr>
          <w:rFonts w:ascii="Calibri" w:hAnsi="Calibri"/>
          <w:color w:val="1F2933"/>
          <w:sz w:val="22"/>
        </w:rPr>
        <w:t>Generated-registry drift detection and clear generated-file markers.</w:t>
      </w:r>
    </w:p>
    <w:p>
      <w:pPr>
        <w:widowControl/>
        <w:numPr>
          <w:ilvl w:val="0"/>
          <w:numId w:val="10"/>
        </w:numPr>
        <w:spacing w:after="160" w:line="280" w:lineRule="auto"/>
        <w:ind w:left="720" w:hanging="360"/>
      </w:pPr>
      <w:r>
        <w:rPr>
          <w:rFonts w:ascii="Calibri" w:hAnsi="Calibri"/>
          <w:color w:val="1F2933"/>
          <w:sz w:val="22"/>
        </w:rPr>
        <w:t>Protected remote history with force-push disabled and logged tombstones for exceptional removal.</w:t>
      </w:r>
    </w:p>
    <w:p>
      <w:pPr>
        <w:widowControl/>
        <w:numPr>
          <w:ilvl w:val="0"/>
          <w:numId w:val="10"/>
        </w:numPr>
        <w:spacing w:after="160" w:line="280" w:lineRule="auto"/>
        <w:ind w:left="720" w:hanging="360"/>
      </w:pPr>
      <w:r>
        <w:rPr>
          <w:rFonts w:ascii="Calibri" w:hAnsi="Calibri"/>
          <w:color w:val="1F2933"/>
          <w:sz w:val="22"/>
        </w:rPr>
        <w:t>Independent, deletion-resistant backup such as S3 object versioning, plus Time Machine and periodic restore tests.</w:t>
      </w:r>
    </w:p>
    <w:p>
      <w:pPr>
        <w:pStyle w:val="Heading1"/>
      </w:pPr>
      <w:r>
        <w:t>11. First evidence case</w:t>
      </w:r>
    </w:p>
    <w:p>
      <w:pPr>
        <w:widowControl/>
        <w:spacing w:after="120" w:line="264" w:lineRule="auto"/>
      </w:pPr>
      <w:r>
        <w:rPr>
          <w:rFonts w:ascii="Calibri" w:hAnsi="Calibri"/>
          <w:i w:val="0"/>
          <w:color w:val="1F2933"/>
          <w:sz w:val="22"/>
        </w:rPr>
        <w:t>The first concrete case is the Curator Terminal Pleistocene investigation. Robert supplied a Curator roadmap proposal and two briefing versions. The material began as personal curiosity, became a research artifact, affected CoS continuity, and raised Guild design questions. It therefore tests cross-domain association, source preservation, visible revision history, and separation between a source proposal and approved roadmap authority.</w:t>
      </w:r>
    </w:p>
    <w:p>
      <w:pPr>
        <w:widowControl/>
        <w:spacing w:after="120" w:line="264" w:lineRule="auto"/>
      </w:pPr>
      <w:r>
        <w:rPr>
          <w:rFonts w:ascii="Calibri" w:hAnsi="Calibri"/>
          <w:i w:val="0"/>
          <w:color w:val="1F2933"/>
          <w:sz w:val="22"/>
        </w:rPr>
        <w:t>The current library retains briefing v0.1 and v0.2 side by side, with unchanged bytes and verified SHA-256 checksums. v0.2 supersedes v0.1 for subsequent work but does not erase it. The source-provided Mini-moi-2.0 folder name is provenance and does not assign a release.</w:t>
      </w:r>
    </w:p>
    <w:p>
      <w:pPr>
        <w:pStyle w:val="Heading1"/>
      </w:pPr>
      <w:r>
        <w:t>12. Proposed evidence-first experiment</w:t>
      </w:r>
    </w:p>
    <w:p>
      <w:pPr>
        <w:widowControl/>
        <w:numPr>
          <w:ilvl w:val="0"/>
          <w:numId w:val="13"/>
        </w:numPr>
        <w:spacing w:after="160" w:line="280" w:lineRule="auto"/>
        <w:ind w:left="720" w:hanging="360"/>
      </w:pPr>
      <w:r>
        <w:rPr>
          <w:rFonts w:ascii="Calibri" w:hAnsi="Calibri"/>
          <w:color w:val="1F2933"/>
          <w:sz w:val="22"/>
        </w:rPr>
        <w:t>Capture external reviews of Terminal Pleistocene v0.2 through the revised intake path.</w:t>
      </w:r>
    </w:p>
    <w:p>
      <w:pPr>
        <w:widowControl/>
        <w:numPr>
          <w:ilvl w:val="0"/>
          <w:numId w:val="13"/>
        </w:numPr>
        <w:spacing w:after="160" w:line="280" w:lineRule="auto"/>
        <w:ind w:left="720" w:hanging="360"/>
      </w:pPr>
      <w:r>
        <w:rPr>
          <w:rFonts w:ascii="Calibri" w:hAnsi="Calibri"/>
          <w:color w:val="1F2933"/>
          <w:sz w:val="22"/>
        </w:rPr>
        <w:t>Have the mechanism assign identity, revision, checksum, filename, and series relationship automatically.</w:t>
      </w:r>
    </w:p>
    <w:p>
      <w:pPr>
        <w:widowControl/>
        <w:numPr>
          <w:ilvl w:val="0"/>
          <w:numId w:val="13"/>
        </w:numPr>
        <w:spacing w:after="160" w:line="280" w:lineRule="auto"/>
        <w:ind w:left="720" w:hanging="360"/>
      </w:pPr>
      <w:r>
        <w:rPr>
          <w:rFonts w:ascii="Calibri" w:hAnsi="Calibri"/>
          <w:color w:val="1F2933"/>
          <w:sz w:val="22"/>
        </w:rPr>
        <w:t>Record Robert’s disposition as a separate decision.</w:t>
      </w:r>
    </w:p>
    <w:p>
      <w:pPr>
        <w:widowControl/>
        <w:numPr>
          <w:ilvl w:val="0"/>
          <w:numId w:val="13"/>
        </w:numPr>
        <w:spacing w:after="160" w:line="280" w:lineRule="auto"/>
        <w:ind w:left="720" w:hanging="360"/>
      </w:pPr>
      <w:r>
        <w:rPr>
          <w:rFonts w:ascii="Calibri" w:hAnsi="Calibri"/>
          <w:color w:val="1F2933"/>
          <w:sz w:val="22"/>
        </w:rPr>
        <w:t>If warranted, retain a new briefing revision beside v0.1 and v0.2 without overwriting either.</w:t>
      </w:r>
    </w:p>
    <w:p>
      <w:pPr>
        <w:widowControl/>
        <w:numPr>
          <w:ilvl w:val="0"/>
          <w:numId w:val="13"/>
        </w:numPr>
        <w:spacing w:after="160" w:line="280" w:lineRule="auto"/>
        <w:ind w:left="720" w:hanging="360"/>
      </w:pPr>
      <w:r>
        <w:rPr>
          <w:rFonts w:ascii="Calibri" w:hAnsi="Calibri"/>
          <w:color w:val="1F2933"/>
          <w:sz w:val="22"/>
        </w:rPr>
        <w:t>Generate permitted orientation and registry projections rather than updating them manually.</w:t>
      </w:r>
    </w:p>
    <w:p>
      <w:pPr>
        <w:widowControl/>
        <w:numPr>
          <w:ilvl w:val="0"/>
          <w:numId w:val="13"/>
        </w:numPr>
        <w:spacing w:after="160" w:line="280" w:lineRule="auto"/>
        <w:ind w:left="720" w:hanging="360"/>
      </w:pPr>
      <w:r>
        <w:rPr>
          <w:rFonts w:ascii="Calibri" w:hAnsi="Calibri"/>
          <w:color w:val="1F2933"/>
          <w:sz w:val="22"/>
        </w:rPr>
        <w:t>Later ask CoS a substantive question and observe whether it retrieves the right sources, reviews, and decision.</w:t>
      </w:r>
    </w:p>
    <w:p>
      <w:pPr>
        <w:widowControl/>
        <w:spacing w:after="120" w:line="264" w:lineRule="auto"/>
      </w:pPr>
      <w:r>
        <w:rPr>
          <w:rFonts w:ascii="Calibri" w:hAnsi="Calibri"/>
          <w:i w:val="0"/>
          <w:color w:val="1F2933"/>
          <w:sz w:val="22"/>
        </w:rPr>
        <w:t>The proposed continuation threshold is at least five deliberate captures and two later retrievals that materially inform a decision, action, or investigation within six months. Robert must confirm or replace that threshold. If the repository does not provide real value, the initiative should be reduced or archived rather than promoted because the architecture is interesting.</w:t>
      </w:r>
    </w:p>
    <w:p>
      <w:pPr>
        <w:pStyle w:val="Heading1"/>
      </w:pPr>
      <w:r>
        <w:t>13. Current status</w:t>
      </w:r>
    </w:p>
    <w:tbl>
      <w:tblPr>
        <w:tblW w:type="dxa" w:w="9360"/>
        <w:tblLayout w:type="fixed"/>
        <w:tblLook w:firstColumn="1" w:firstRow="1" w:lastColumn="0" w:lastRow="0" w:noHBand="0" w:noVBand="1" w:val="04A0"/>
        <w:jc w:val="left"/>
        <w:tblInd w:type="dxa" w:w="120"/>
        <w:tblBorders>
          <w:top w:val="single" w:sz="6" w:color="D6DCE3"/>
          <w:left w:val="single" w:sz="6" w:color="D6DCE3"/>
          <w:bottom w:val="single" w:sz="6" w:color="D6DCE3"/>
          <w:right w:val="single" w:sz="6" w:color="D6DCE3"/>
          <w:insideH w:val="single" w:sz="6" w:color="D6DCE3"/>
          <w:insideV w:val="single" w:sz="6" w:color="D6DCE3"/>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b/>
                <w:color w:val="17324D"/>
                <w:sz w:val="19"/>
              </w:rPr>
              <w:t>Status</w:t>
            </w:r>
          </w:p>
        </w:tc>
        <w:tc>
          <w:tcPr>
            <w:tcW w:type="dxa" w:w="7460"/>
            <w:vAlign w:val="center"/>
            <w:tcMar>
              <w:top w:w="80" w:type="dxa"/>
              <w:start w:w="120" w:type="dxa"/>
              <w:bottom w:w="80" w:type="dxa"/>
              <w:end w:w="120" w:type="dxa"/>
            </w:tcMar>
            <w:shd w:fill="F2F4F7"/>
          </w:tcPr>
          <w:p>
            <w:pPr>
              <w:spacing w:after="0"/>
            </w:pPr>
            <w:r>
              <w:rPr>
                <w:rFonts w:ascii="Calibri" w:hAnsi="Calibri"/>
                <w:b/>
                <w:color w:val="17324D"/>
                <w:sz w:val="19"/>
              </w:rPr>
              <w:t>Meaning</w:t>
            </w:r>
          </w:p>
        </w:tc>
      </w:tr>
      <w:tr>
        <w:tc>
          <w:tcPr>
            <w:tcW w:type="dxa" w:w="1900"/>
            <w:vAlign w:val="center"/>
            <w:tcMar>
              <w:top w:w="80" w:type="dxa"/>
              <w:start w:w="120" w:type="dxa"/>
              <w:bottom w:w="80" w:type="dxa"/>
              <w:end w:w="120" w:type="dxa"/>
            </w:tcMar>
          </w:tcPr>
          <w:p>
            <w:pPr>
              <w:spacing w:after="0" w:line="252" w:lineRule="auto"/>
            </w:pPr>
            <w:r>
              <w:rPr>
                <w:rFonts w:ascii="Calibri" w:hAnsi="Calibri"/>
                <w:color w:val="1F2933"/>
                <w:sz w:val="19"/>
              </w:rPr>
              <w:t>Exists</w:t>
            </w:r>
          </w:p>
        </w:tc>
        <w:tc>
          <w:tcPr>
            <w:tcW w:type="dxa" w:w="7460"/>
            <w:vAlign w:val="center"/>
            <w:tcMar>
              <w:top w:w="80" w:type="dxa"/>
              <w:start w:w="120" w:type="dxa"/>
              <w:bottom w:w="80" w:type="dxa"/>
              <w:end w:w="120" w:type="dxa"/>
            </w:tcMar>
          </w:tcPr>
          <w:p>
            <w:pPr>
              <w:spacing w:after="0" w:line="252" w:lineRule="auto"/>
            </w:pPr>
            <w:r>
              <w:rPr>
                <w:rFonts w:ascii="Calibri" w:hAnsi="Calibri"/>
                <w:color w:val="1F2933"/>
                <w:sz w:val="19"/>
              </w:rPr>
              <w:t>Planning Studio directory outside the working area; v0.9 design candidate; source library; preserved v0.1 package; reviews and decisions.</w:t>
            </w:r>
          </w:p>
        </w:tc>
      </w:tr>
      <w:tr>
        <w:tc>
          <w:tcPr>
            <w:tcW w:type="dxa" w:w="1900"/>
            <w:vAlign w:val="center"/>
            <w:tcMar>
              <w:top w:w="80" w:type="dxa"/>
              <w:start w:w="120" w:type="dxa"/>
              <w:bottom w:w="80" w:type="dxa"/>
              <w:end w:w="120" w:type="dxa"/>
            </w:tcMar>
          </w:tcPr>
          <w:p>
            <w:pPr>
              <w:spacing w:after="0" w:line="252" w:lineRule="auto"/>
            </w:pPr>
            <w:r>
              <w:rPr>
                <w:rFonts w:ascii="Calibri" w:hAnsi="Calibri"/>
                <w:color w:val="1F2933"/>
                <w:sz w:val="19"/>
              </w:rPr>
              <w:t>Validated</w:t>
            </w:r>
          </w:p>
        </w:tc>
        <w:tc>
          <w:tcPr>
            <w:tcW w:type="dxa" w:w="7460"/>
            <w:vAlign w:val="center"/>
            <w:tcMar>
              <w:top w:w="80" w:type="dxa"/>
              <w:start w:w="120" w:type="dxa"/>
              <w:bottom w:w="80" w:type="dxa"/>
              <w:end w:w="120" w:type="dxa"/>
            </w:tcMar>
          </w:tcPr>
          <w:p>
            <w:pPr>
              <w:spacing w:after="0" w:line="252" w:lineRule="auto"/>
            </w:pPr>
            <w:r>
              <w:rPr>
                <w:rFonts w:ascii="Calibri" w:hAnsi="Calibri"/>
                <w:color w:val="1F2933"/>
                <w:sz w:val="19"/>
              </w:rPr>
              <w:t>Readable links, unique ULIDs and slugs, JSON syntax, original source checksums, and package ZIP integrity.</w:t>
            </w:r>
          </w:p>
        </w:tc>
      </w:tr>
      <w:tr>
        <w:tc>
          <w:tcPr>
            <w:tcW w:type="dxa" w:w="1900"/>
            <w:vAlign w:val="center"/>
            <w:tcMar>
              <w:top w:w="80" w:type="dxa"/>
              <w:start w:w="120" w:type="dxa"/>
              <w:bottom w:w="80" w:type="dxa"/>
              <w:end w:w="120" w:type="dxa"/>
            </w:tcMar>
          </w:tcPr>
          <w:p>
            <w:pPr>
              <w:spacing w:after="0" w:line="252" w:lineRule="auto"/>
            </w:pPr>
            <w:r>
              <w:rPr>
                <w:rFonts w:ascii="Calibri" w:hAnsi="Calibri"/>
                <w:color w:val="1F2933"/>
                <w:sz w:val="19"/>
              </w:rPr>
              <w:t>Recorded after v0.9</w:t>
            </w:r>
          </w:p>
        </w:tc>
        <w:tc>
          <w:tcPr>
            <w:tcW w:type="dxa" w:w="7460"/>
            <w:vAlign w:val="center"/>
            <w:tcMar>
              <w:top w:w="80" w:type="dxa"/>
              <w:start w:w="120" w:type="dxa"/>
              <w:bottom w:w="80" w:type="dxa"/>
              <w:end w:w="120" w:type="dxa"/>
            </w:tcMar>
          </w:tcPr>
          <w:p>
            <w:pPr>
              <w:spacing w:after="0" w:line="252" w:lineRule="auto"/>
            </w:pPr>
            <w:r>
              <w:rPr>
                <w:rFonts w:ascii="Calibri" w:hAnsi="Calibri"/>
                <w:color w:val="1F2933"/>
                <w:sz w:val="19"/>
              </w:rPr>
              <w:t>Visible source history, descriptive orientation filenames, and automatic identity and repository revisioning.</w:t>
            </w:r>
          </w:p>
        </w:tc>
      </w:tr>
      <w:tr>
        <w:tc>
          <w:tcPr>
            <w:tcW w:type="dxa" w:w="1900"/>
            <w:vAlign w:val="center"/>
            <w:tcMar>
              <w:top w:w="80" w:type="dxa"/>
              <w:start w:w="120" w:type="dxa"/>
              <w:bottom w:w="80" w:type="dxa"/>
              <w:end w:w="120" w:type="dxa"/>
            </w:tcMar>
          </w:tcPr>
          <w:p>
            <w:pPr>
              <w:spacing w:after="0" w:line="252" w:lineRule="auto"/>
            </w:pPr>
            <w:r>
              <w:rPr>
                <w:rFonts w:ascii="Calibri" w:hAnsi="Calibri"/>
                <w:color w:val="1F2933"/>
                <w:sz w:val="19"/>
              </w:rPr>
              <w:t>Not implemented</w:t>
            </w:r>
          </w:p>
        </w:tc>
        <w:tc>
          <w:tcPr>
            <w:tcW w:type="dxa" w:w="7460"/>
            <w:vAlign w:val="center"/>
            <w:tcMar>
              <w:top w:w="80" w:type="dxa"/>
              <w:start w:w="120" w:type="dxa"/>
              <w:bottom w:w="80" w:type="dxa"/>
              <w:end w:w="120" w:type="dxa"/>
            </w:tcMar>
          </w:tcPr>
          <w:p>
            <w:pPr>
              <w:spacing w:after="0" w:line="252" w:lineRule="auto"/>
            </w:pPr>
            <w:r>
              <w:rPr>
                <w:rFonts w:ascii="Calibri" w:hAnsi="Calibri"/>
                <w:color w:val="1F2933"/>
                <w:sz w:val="19"/>
              </w:rPr>
              <w:t>Intake/versioning tool, registry generator, hooks, database, graph, semantic search, CoS write path, migration, remote policy, or UI.</w:t>
            </w:r>
          </w:p>
        </w:tc>
      </w:tr>
      <w:tr>
        <w:tc>
          <w:tcPr>
            <w:tcW w:type="dxa" w:w="1900"/>
            <w:vAlign w:val="center"/>
            <w:tcMar>
              <w:top w:w="80" w:type="dxa"/>
              <w:start w:w="120" w:type="dxa"/>
              <w:bottom w:w="80" w:type="dxa"/>
              <w:end w:w="120" w:type="dxa"/>
            </w:tcMar>
          </w:tcPr>
          <w:p>
            <w:pPr>
              <w:spacing w:after="0" w:line="252" w:lineRule="auto"/>
            </w:pPr>
            <w:r>
              <w:rPr>
                <w:rFonts w:ascii="Calibri" w:hAnsi="Calibri"/>
                <w:color w:val="1F2933"/>
                <w:sz w:val="19"/>
              </w:rPr>
              <w:t>Not authorized</w:t>
            </w:r>
          </w:p>
        </w:tc>
        <w:tc>
          <w:tcPr>
            <w:tcW w:type="dxa" w:w="7460"/>
            <w:vAlign w:val="center"/>
            <w:tcMar>
              <w:top w:w="80" w:type="dxa"/>
              <w:start w:w="120" w:type="dxa"/>
              <w:bottom w:w="80" w:type="dxa"/>
              <w:end w:w="120" w:type="dxa"/>
            </w:tcMar>
          </w:tcPr>
          <w:p>
            <w:pPr>
              <w:spacing w:after="0" w:line="252" w:lineRule="auto"/>
            </w:pPr>
            <w:r>
              <w:rPr>
                <w:rFonts w:ascii="Calibri" w:hAnsi="Calibri"/>
                <w:color w:val="1F2933"/>
                <w:sz w:val="19"/>
              </w:rPr>
              <w:t>Implementation, roadmap promotion, mini-moi release assignment, or wholesale content migration.</w:t>
            </w:r>
          </w:p>
        </w:tc>
      </w:tr>
    </w:tbl>
    <w:p>
      <w:pPr>
        <w:spacing w:after="40"/>
      </w:pPr>
    </w:p>
    <w:p>
      <w:pPr>
        <w:spacing w:before="120" w:after="200" w:line="264" w:lineRule="auto"/>
        <w:ind w:left="216" w:right="115"/>
        <w:shd w:fill="FFF7E6"/>
        <w:pBdr>
          <w:left w:val="single" w:sz="18" w:space="8" w:color="9A6A12"/>
        </w:pBdr>
      </w:pPr>
      <w:r>
        <w:rPr>
          <w:rFonts w:ascii="Calibri" w:hAnsi="Calibri"/>
          <w:b/>
          <w:color w:val="17324D"/>
          <w:sz w:val="22"/>
        </w:rPr>
        <w:t xml:space="preserve">KNOWN INPUT GAP  </w:t>
      </w:r>
      <w:r>
        <w:rPr>
          <w:rFonts w:ascii="Calibri" w:hAnsi="Calibri"/>
          <w:color w:val="1F2933"/>
          <w:sz w:val="22"/>
        </w:rPr>
        <w:t>Claude’s discussion references decision-authorize-registry-generator-for-first-experiment--jy330nyb and a second Claude design review. Those actual files are not yet present in Planning Studio. Their contents must be reviewed before generator scope is considered complete.</w:t>
      </w:r>
    </w:p>
    <w:p>
      <w:pPr>
        <w:pStyle w:val="Heading1"/>
      </w:pPr>
      <w:r>
        <w:t>14. Questions for Grok</w:t>
      </w:r>
    </w:p>
    <w:p>
      <w:pPr>
        <w:widowControl/>
        <w:numPr>
          <w:ilvl w:val="0"/>
          <w:numId w:val="14"/>
        </w:numPr>
        <w:spacing w:after="160" w:line="280" w:lineRule="auto"/>
        <w:ind w:left="720" w:hanging="360"/>
      </w:pPr>
      <w:r>
        <w:rPr>
          <w:rFonts w:ascii="Calibri" w:hAnsi="Calibri"/>
          <w:color w:val="1F2933"/>
          <w:sz w:val="22"/>
        </w:rPr>
        <w:t>Is the file-first substrate sufficient for durability and portability, or does it postpone a necessary database concern?</w:t>
      </w:r>
    </w:p>
    <w:p>
      <w:pPr>
        <w:widowControl/>
        <w:numPr>
          <w:ilvl w:val="0"/>
          <w:numId w:val="14"/>
        </w:numPr>
        <w:spacing w:after="160" w:line="280" w:lineRule="auto"/>
        <w:ind w:left="720" w:hanging="360"/>
      </w:pPr>
      <w:r>
        <w:rPr>
          <w:rFonts w:ascii="Calibri" w:hAnsi="Calibri"/>
          <w:color w:val="1F2933"/>
          <w:sz w:val="22"/>
        </w:rPr>
        <w:t>Does the separation among CoS, Curator, Planning Studio, Guild, and domains reduce ambiguity, or introduce too many conceptual boundaries?</w:t>
      </w:r>
    </w:p>
    <w:p>
      <w:pPr>
        <w:widowControl/>
        <w:numPr>
          <w:ilvl w:val="0"/>
          <w:numId w:val="14"/>
        </w:numPr>
        <w:spacing w:after="160" w:line="280" w:lineRule="auto"/>
        <w:ind w:left="720" w:hanging="360"/>
      </w:pPr>
      <w:r>
        <w:rPr>
          <w:rFonts w:ascii="Calibri" w:hAnsi="Calibri"/>
          <w:color w:val="1F2933"/>
          <w:sz w:val="22"/>
        </w:rPr>
        <w:t>Is explicit capture low-friction enough, and what is the minimum safe automation needed to make it habitual?</w:t>
      </w:r>
    </w:p>
    <w:p>
      <w:pPr>
        <w:widowControl/>
        <w:numPr>
          <w:ilvl w:val="0"/>
          <w:numId w:val="14"/>
        </w:numPr>
        <w:spacing w:after="160" w:line="280" w:lineRule="auto"/>
        <w:ind w:left="720" w:hanging="360"/>
      </w:pPr>
      <w:r>
        <w:rPr>
          <w:rFonts w:ascii="Calibri" w:hAnsi="Calibri"/>
          <w:color w:val="1F2933"/>
          <w:sz w:val="22"/>
        </w:rPr>
        <w:t>Is the source-file plus provenance-record model too duplicative, or necessary to preserve exact bytes and readable history?</w:t>
      </w:r>
    </w:p>
    <w:p>
      <w:pPr>
        <w:widowControl/>
        <w:numPr>
          <w:ilvl w:val="0"/>
          <w:numId w:val="14"/>
        </w:numPr>
        <w:spacing w:after="160" w:line="280" w:lineRule="auto"/>
        <w:ind w:left="720" w:hanging="360"/>
      </w:pPr>
      <w:r>
        <w:rPr>
          <w:rFonts w:ascii="Calibri" w:hAnsi="Calibri"/>
          <w:color w:val="1F2933"/>
          <w:sz w:val="22"/>
        </w:rPr>
        <w:t>Should automatic repository revisions be integers per series, another monotonic scheme, or derived entirely from immutable identities and timestamps?</w:t>
      </w:r>
    </w:p>
    <w:p>
      <w:pPr>
        <w:widowControl/>
        <w:numPr>
          <w:ilvl w:val="0"/>
          <w:numId w:val="14"/>
        </w:numPr>
        <w:spacing w:after="160" w:line="280" w:lineRule="auto"/>
        <w:ind w:left="720" w:hanging="360"/>
      </w:pPr>
      <w:r>
        <w:rPr>
          <w:rFonts w:ascii="Calibri" w:hAnsi="Calibri"/>
          <w:color w:val="1F2933"/>
          <w:sz w:val="22"/>
        </w:rPr>
        <w:t>What concurrency and failure modes must be solved before multiple agents can create revisions safely?</w:t>
      </w:r>
    </w:p>
    <w:p>
      <w:pPr>
        <w:widowControl/>
        <w:numPr>
          <w:ilvl w:val="0"/>
          <w:numId w:val="14"/>
        </w:numPr>
        <w:spacing w:after="160" w:line="280" w:lineRule="auto"/>
        <w:ind w:left="720" w:hanging="360"/>
      </w:pPr>
      <w:r>
        <w:rPr>
          <w:rFonts w:ascii="Calibri" w:hAnsi="Calibri"/>
          <w:color w:val="1F2933"/>
          <w:sz w:val="22"/>
        </w:rPr>
        <w:t>Are typed relationships and a separate domains field justified now, or architecture ahead of evidence?</w:t>
      </w:r>
    </w:p>
    <w:p>
      <w:pPr>
        <w:widowControl/>
        <w:numPr>
          <w:ilvl w:val="0"/>
          <w:numId w:val="14"/>
        </w:numPr>
        <w:spacing w:after="160" w:line="280" w:lineRule="auto"/>
        <w:ind w:left="720" w:hanging="360"/>
      </w:pPr>
      <w:r>
        <w:rPr>
          <w:rFonts w:ascii="Calibri" w:hAnsi="Calibri"/>
          <w:color w:val="1F2933"/>
          <w:sz w:val="22"/>
        </w:rPr>
        <w:t>Should decisions remain co-located with initiatives and be projected globally, or live canonically in one decision collection?</w:t>
      </w:r>
    </w:p>
    <w:p>
      <w:pPr>
        <w:widowControl/>
        <w:numPr>
          <w:ilvl w:val="0"/>
          <w:numId w:val="14"/>
        </w:numPr>
        <w:spacing w:after="160" w:line="280" w:lineRule="auto"/>
        <w:ind w:left="720" w:hanging="360"/>
      </w:pPr>
      <w:r>
        <w:rPr>
          <w:rFonts w:ascii="Calibri" w:hAnsi="Calibri"/>
          <w:color w:val="1F2933"/>
          <w:sz w:val="22"/>
        </w:rPr>
        <w:t>What is the minimum private-repository and backup policy needed before personal material is migrated?</w:t>
      </w:r>
    </w:p>
    <w:p>
      <w:pPr>
        <w:widowControl/>
        <w:numPr>
          <w:ilvl w:val="0"/>
          <w:numId w:val="14"/>
        </w:numPr>
        <w:spacing w:after="160" w:line="280" w:lineRule="auto"/>
        <w:ind w:left="720" w:hanging="360"/>
      </w:pPr>
      <w:r>
        <w:rPr>
          <w:rFonts w:ascii="Calibri" w:hAnsi="Calibri"/>
          <w:color w:val="1F2933"/>
          <w:sz w:val="22"/>
        </w:rPr>
        <w:t>Which elements should be removed before the first experiment?</w:t>
      </w:r>
    </w:p>
    <w:p>
      <w:pPr>
        <w:widowControl/>
        <w:numPr>
          <w:ilvl w:val="0"/>
          <w:numId w:val="14"/>
        </w:numPr>
        <w:spacing w:after="160" w:line="280" w:lineRule="auto"/>
        <w:ind w:left="720" w:hanging="360"/>
      </w:pPr>
      <w:r>
        <w:rPr>
          <w:rFonts w:ascii="Calibri" w:hAnsi="Calibri"/>
          <w:color w:val="1F2933"/>
          <w:sz w:val="22"/>
        </w:rPr>
        <w:t>What evidence should justify continued 1.x investment, and what should cause the initiative to pause or be archived?</w:t>
      </w:r>
    </w:p>
    <w:p>
      <w:pPr>
        <w:pStyle w:val="Heading1"/>
      </w:pPr>
      <w:r>
        <w:t>15. Requested review response</w:t>
      </w:r>
    </w:p>
    <w:p>
      <w:pPr>
        <w:widowControl/>
        <w:spacing w:after="120" w:line="264" w:lineRule="auto"/>
      </w:pPr>
      <w:r>
        <w:rPr>
          <w:rFonts w:ascii="Calibri" w:hAnsi="Calibri"/>
          <w:i w:val="0"/>
          <w:color w:val="1F2933"/>
          <w:sz w:val="22"/>
        </w:rPr>
        <w:t>Please return a design critique rather than an implementation plan. Include:</w:t>
      </w:r>
    </w:p>
    <w:p>
      <w:pPr>
        <w:widowControl/>
        <w:numPr>
          <w:ilvl w:val="0"/>
          <w:numId w:val="10"/>
        </w:numPr>
        <w:spacing w:after="160" w:line="280" w:lineRule="auto"/>
        <w:ind w:left="720" w:hanging="360"/>
      </w:pPr>
      <w:r>
        <w:rPr>
          <w:rFonts w:ascii="Calibri" w:hAnsi="Calibri"/>
          <w:color w:val="1F2933"/>
          <w:sz w:val="22"/>
        </w:rPr>
        <w:t>Overall verdict: advance, revise, pause, or discard.</w:t>
      </w:r>
    </w:p>
    <w:p>
      <w:pPr>
        <w:widowControl/>
        <w:numPr>
          <w:ilvl w:val="0"/>
          <w:numId w:val="10"/>
        </w:numPr>
        <w:spacing w:after="160" w:line="280" w:lineRule="auto"/>
        <w:ind w:left="720" w:hanging="360"/>
      </w:pPr>
      <w:r>
        <w:rPr>
          <w:rFonts w:ascii="Calibri" w:hAnsi="Calibri"/>
          <w:color w:val="1F2933"/>
          <w:sz w:val="22"/>
        </w:rPr>
        <w:t>The five highest-risk assumptions, in priority order.</w:t>
      </w:r>
    </w:p>
    <w:p>
      <w:pPr>
        <w:widowControl/>
        <w:numPr>
          <w:ilvl w:val="0"/>
          <w:numId w:val="10"/>
        </w:numPr>
        <w:spacing w:after="160" w:line="280" w:lineRule="auto"/>
        <w:ind w:left="720" w:hanging="360"/>
      </w:pPr>
      <w:r>
        <w:rPr>
          <w:rFonts w:ascii="Calibri" w:hAnsi="Calibri"/>
          <w:color w:val="1F2933"/>
          <w:sz w:val="22"/>
        </w:rPr>
        <w:t>Design elements that should be defended and retained.</w:t>
      </w:r>
    </w:p>
    <w:p>
      <w:pPr>
        <w:widowControl/>
        <w:numPr>
          <w:ilvl w:val="0"/>
          <w:numId w:val="10"/>
        </w:numPr>
        <w:spacing w:after="160" w:line="280" w:lineRule="auto"/>
        <w:ind w:left="720" w:hanging="360"/>
      </w:pPr>
      <w:r>
        <w:rPr>
          <w:rFonts w:ascii="Calibri" w:hAnsi="Calibri"/>
          <w:color w:val="1F2933"/>
          <w:sz w:val="22"/>
        </w:rPr>
        <w:t>Design elements that should be simplified or removed before the first experiment.</w:t>
      </w:r>
    </w:p>
    <w:p>
      <w:pPr>
        <w:widowControl/>
        <w:numPr>
          <w:ilvl w:val="0"/>
          <w:numId w:val="10"/>
        </w:numPr>
        <w:spacing w:after="160" w:line="280" w:lineRule="auto"/>
        <w:ind w:left="720" w:hanging="360"/>
      </w:pPr>
      <w:r>
        <w:rPr>
          <w:rFonts w:ascii="Calibri" w:hAnsi="Calibri"/>
          <w:color w:val="1F2933"/>
          <w:sz w:val="22"/>
        </w:rPr>
        <w:t>Proposed answers to open questions that block a bounded specification.</w:t>
      </w:r>
    </w:p>
    <w:p>
      <w:pPr>
        <w:widowControl/>
        <w:numPr>
          <w:ilvl w:val="0"/>
          <w:numId w:val="10"/>
        </w:numPr>
        <w:spacing w:after="160" w:line="280" w:lineRule="auto"/>
        <w:ind w:left="720" w:hanging="360"/>
      </w:pPr>
      <w:r>
        <w:rPr>
          <w:rFonts w:ascii="Calibri" w:hAnsi="Calibri"/>
          <w:color w:val="1F2933"/>
          <w:sz w:val="22"/>
        </w:rPr>
        <w:t>The smallest evidence-producing next step that tests the design without committing to a new application or release.</w:t>
      </w:r>
    </w:p>
    <w:p>
      <w:pPr>
        <w:spacing w:before="120" w:after="200" w:line="264" w:lineRule="auto"/>
        <w:ind w:left="216" w:right="115"/>
        <w:shd w:fill="E8EEF5"/>
        <w:pBdr>
          <w:left w:val="single" w:sz="18" w:space="8" w:color="137F75"/>
        </w:pBdr>
      </w:pPr>
      <w:r>
        <w:rPr>
          <w:rFonts w:ascii="Calibri" w:hAnsi="Calibri"/>
          <w:b/>
          <w:color w:val="17324D"/>
          <w:sz w:val="22"/>
        </w:rPr>
        <w:t xml:space="preserve">GUARDRAIL  </w:t>
      </w:r>
      <w:r>
        <w:rPr>
          <w:rFonts w:ascii="Calibri" w:hAnsi="Calibri"/>
          <w:color w:val="1F2933"/>
          <w:sz w:val="22"/>
        </w:rPr>
        <w:t>Do not assume commercial use, a mini-moi 2.0 commitment, or implementation authority. Treat this document as a synthesis for design review; the actual preserved sources and decisions remain the authoritative evidence set.</w:t>
      </w:r>
    </w:p>
    <w:p>
      <w:pPr>
        <w:pStyle w:val="Heading1"/>
      </w:pPr>
      <w:r>
        <w:t>Appendix A — Settled direction and open design</w:t>
      </w:r>
    </w:p>
    <w:p>
      <w:pPr>
        <w:pStyle w:val="Heading2"/>
      </w:pPr>
      <w:r>
        <w:t>Settled direction</w:t>
      </w:r>
    </w:p>
    <w:p>
      <w:pPr>
        <w:widowControl/>
        <w:numPr>
          <w:ilvl w:val="0"/>
          <w:numId w:val="10"/>
        </w:numPr>
        <w:spacing w:after="160" w:line="280" w:lineRule="auto"/>
        <w:ind w:left="720" w:hanging="360"/>
      </w:pPr>
      <w:r>
        <w:rPr>
          <w:rFonts w:ascii="Calibri" w:hAnsi="Calibri"/>
          <w:color w:val="1F2933"/>
          <w:sz w:val="22"/>
        </w:rPr>
        <w:t>The repository is person-owned and must outlive particular agents and applications.</w:t>
      </w:r>
    </w:p>
    <w:p>
      <w:pPr>
        <w:widowControl/>
        <w:numPr>
          <w:ilvl w:val="0"/>
          <w:numId w:val="10"/>
        </w:numPr>
        <w:spacing w:after="160" w:line="280" w:lineRule="auto"/>
        <w:ind w:left="720" w:hanging="360"/>
      </w:pPr>
      <w:r>
        <w:rPr>
          <w:rFonts w:ascii="Calibri" w:hAnsi="Calibri"/>
          <w:color w:val="1F2933"/>
          <w:sz w:val="22"/>
        </w:rPr>
        <w:t>Readable files are the primary durable interface.</w:t>
      </w:r>
    </w:p>
    <w:p>
      <w:pPr>
        <w:widowControl/>
        <w:numPr>
          <w:ilvl w:val="0"/>
          <w:numId w:val="10"/>
        </w:numPr>
        <w:spacing w:after="160" w:line="280" w:lineRule="auto"/>
        <w:ind w:left="720" w:hanging="360"/>
      </w:pPr>
      <w:r>
        <w:rPr>
          <w:rFonts w:ascii="Calibri" w:hAnsi="Calibri"/>
          <w:color w:val="1F2933"/>
          <w:sz w:val="22"/>
        </w:rPr>
        <w:t>Successive source versions remain accessible and are never silently overwritten.</w:t>
      </w:r>
    </w:p>
    <w:p>
      <w:pPr>
        <w:widowControl/>
        <w:numPr>
          <w:ilvl w:val="0"/>
          <w:numId w:val="10"/>
        </w:numPr>
        <w:spacing w:after="160" w:line="280" w:lineRule="auto"/>
        <w:ind w:left="720" w:hanging="360"/>
      </w:pPr>
      <w:r>
        <w:rPr>
          <w:rFonts w:ascii="Calibri" w:hAnsi="Calibri"/>
          <w:color w:val="1F2933"/>
          <w:sz w:val="22"/>
        </w:rPr>
        <w:t>Robert does not manually assign ordinary record IDs, revision numbers, filenames, or supersession links.</w:t>
      </w:r>
    </w:p>
    <w:p>
      <w:pPr>
        <w:widowControl/>
        <w:numPr>
          <w:ilvl w:val="0"/>
          <w:numId w:val="10"/>
        </w:numPr>
        <w:spacing w:after="160" w:line="280" w:lineRule="auto"/>
        <w:ind w:left="720" w:hanging="360"/>
      </w:pPr>
      <w:r>
        <w:rPr>
          <w:rFonts w:ascii="Calibri" w:hAnsi="Calibri"/>
          <w:color w:val="1F2933"/>
          <w:sz w:val="22"/>
        </w:rPr>
        <w:t>Only the package or repository root uses generic README.md; other orientation files identify their subject.</w:t>
      </w:r>
    </w:p>
    <w:p>
      <w:pPr>
        <w:widowControl/>
        <w:numPr>
          <w:ilvl w:val="0"/>
          <w:numId w:val="10"/>
        </w:numPr>
        <w:spacing w:after="160" w:line="280" w:lineRule="auto"/>
        <w:ind w:left="720" w:hanging="360"/>
      </w:pPr>
      <w:r>
        <w:rPr>
          <w:rFonts w:ascii="Calibri" w:hAnsi="Calibri"/>
          <w:color w:val="1F2933"/>
          <w:sz w:val="22"/>
        </w:rPr>
        <w:t>Sources, notes, and decisions remain distinct.</w:t>
      </w:r>
    </w:p>
    <w:p>
      <w:pPr>
        <w:widowControl/>
        <w:numPr>
          <w:ilvl w:val="0"/>
          <w:numId w:val="10"/>
        </w:numPr>
        <w:spacing w:after="160" w:line="280" w:lineRule="auto"/>
        <w:ind w:left="720" w:hanging="360"/>
      </w:pPr>
      <w:r>
        <w:rPr>
          <w:rFonts w:ascii="Calibri" w:hAnsi="Calibri"/>
          <w:color w:val="1F2933"/>
          <w:sz w:val="22"/>
        </w:rPr>
        <w:t>No current design decision authorizes implementation or a mini-moi release.</w:t>
      </w:r>
    </w:p>
    <w:p>
      <w:pPr>
        <w:pStyle w:val="Heading2"/>
      </w:pPr>
      <w:r>
        <w:t>Still open</w:t>
      </w:r>
    </w:p>
    <w:p>
      <w:pPr>
        <w:widowControl/>
        <w:numPr>
          <w:ilvl w:val="0"/>
          <w:numId w:val="10"/>
        </w:numPr>
        <w:spacing w:after="160" w:line="280" w:lineRule="auto"/>
        <w:ind w:left="720" w:hanging="360"/>
      </w:pPr>
      <w:r>
        <w:rPr>
          <w:rFonts w:ascii="Calibri" w:hAnsi="Calibri"/>
          <w:color w:val="1F2933"/>
          <w:sz w:val="22"/>
        </w:rPr>
        <w:t>Exact intake/versioning and registry-generator specification, including atomicity and concurrency.</w:t>
      </w:r>
    </w:p>
    <w:p>
      <w:pPr>
        <w:widowControl/>
        <w:numPr>
          <w:ilvl w:val="0"/>
          <w:numId w:val="10"/>
        </w:numPr>
        <w:spacing w:after="160" w:line="280" w:lineRule="auto"/>
        <w:ind w:left="720" w:hanging="360"/>
      </w:pPr>
      <w:r>
        <w:rPr>
          <w:rFonts w:ascii="Calibri" w:hAnsi="Calibri"/>
          <w:color w:val="1F2933"/>
          <w:sz w:val="22"/>
        </w:rPr>
        <w:t>Whether decisions are canonically co-located or globally stored.</w:t>
      </w:r>
    </w:p>
    <w:p>
      <w:pPr>
        <w:widowControl/>
        <w:numPr>
          <w:ilvl w:val="0"/>
          <w:numId w:val="10"/>
        </w:numPr>
        <w:spacing w:after="160" w:line="280" w:lineRule="auto"/>
        <w:ind w:left="720" w:hanging="360"/>
      </w:pPr>
      <w:r>
        <w:rPr>
          <w:rFonts w:ascii="Calibri" w:hAnsi="Calibri"/>
          <w:color w:val="1F2933"/>
          <w:sz w:val="22"/>
        </w:rPr>
        <w:t>Future private repository name, location, sensitivity model, and backup policy.</w:t>
      </w:r>
    </w:p>
    <w:p>
      <w:pPr>
        <w:widowControl/>
        <w:numPr>
          <w:ilvl w:val="0"/>
          <w:numId w:val="10"/>
        </w:numPr>
        <w:spacing w:after="160" w:line="280" w:lineRule="auto"/>
        <w:ind w:left="720" w:hanging="360"/>
      </w:pPr>
      <w:r>
        <w:rPr>
          <w:rFonts w:ascii="Calibri" w:hAnsi="Calibri"/>
          <w:color w:val="1F2933"/>
          <w:sz w:val="22"/>
        </w:rPr>
        <w:t>When CoS receives direct write access and through what validation boundary.</w:t>
      </w:r>
    </w:p>
    <w:p>
      <w:pPr>
        <w:widowControl/>
        <w:numPr>
          <w:ilvl w:val="0"/>
          <w:numId w:val="10"/>
        </w:numPr>
        <w:spacing w:after="160" w:line="280" w:lineRule="auto"/>
        <w:ind w:left="720" w:hanging="360"/>
      </w:pPr>
      <w:r>
        <w:rPr>
          <w:rFonts w:ascii="Calibri" w:hAnsi="Calibri"/>
          <w:color w:val="1F2933"/>
          <w:sz w:val="22"/>
        </w:rPr>
        <w:t>Which domain-state types require portable exports.</w:t>
      </w:r>
    </w:p>
    <w:p>
      <w:pPr>
        <w:widowControl/>
        <w:numPr>
          <w:ilvl w:val="0"/>
          <w:numId w:val="10"/>
        </w:numPr>
        <w:spacing w:after="160" w:line="280" w:lineRule="auto"/>
        <w:ind w:left="720" w:hanging="360"/>
      </w:pPr>
      <w:r>
        <w:rPr>
          <w:rFonts w:ascii="Calibri" w:hAnsi="Calibri"/>
          <w:color w:val="1F2933"/>
          <w:sz w:val="22"/>
        </w:rPr>
        <w:t>Whether the Pleistocene round trip is the right first experiment and what success threshold applies.</w:t>
      </w:r>
    </w:p>
    <w:p>
      <w:pPr>
        <w:pStyle w:val="Heading1"/>
      </w:pPr>
      <w:r>
        <w:t>Appendix B — Design provenance</w:t>
      </w:r>
    </w:p>
    <w:p>
      <w:pPr>
        <w:widowControl/>
        <w:spacing w:after="120" w:line="264" w:lineRule="auto"/>
      </w:pPr>
      <w:r>
        <w:rPr>
          <w:rFonts w:ascii="Calibri" w:hAnsi="Calibri"/>
          <w:i w:val="0"/>
          <w:color w:val="1F2933"/>
          <w:sz w:val="22"/>
        </w:rPr>
        <w:t>This synthesis draws from the initial Planning Studio scaffold, Claude’s first design review, Codex’s assessment, the consolidated v0.9 candidate, Robert’s source-visibility decision, Robert and Claude’s orientation-file discussion, and Robert’s automatic-versioning clarification. It was prepared as a self-contained Word document because Grok’s current intake does not accept the Markdown package reliably.</w:t>
      </w:r>
    </w:p>
    <w:p>
      <w:pPr>
        <w:widowControl/>
        <w:spacing w:after="120" w:line="264" w:lineRule="auto"/>
      </w:pPr>
      <w:r>
        <w:rPr>
          <w:rFonts w:ascii="Calibri" w:hAnsi="Calibri"/>
          <w:i w:val="0"/>
          <w:color w:val="1F2933"/>
          <w:sz w:val="22"/>
        </w:rPr>
        <w:t>Document identity: 01M1J7JRVRV9Y05RQ64W6E9V9D. Filename suffix: 4w6e9v9d. Generated for design review on 2 September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5758B"/>
        <w:sz w:val="17"/>
      </w:rPr>
      <w:t xml:space="preserve">Design candidate — not implementation authority   |   </w:t>
    </w:r>
    <w:r>
      <w:rPr>
        <w:rFonts w:ascii="Calibri" w:hAnsi="Calibri"/>
        <w:color w:val="65758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5758B"/>
        <w:sz w:val="17"/>
      </w:rPr>
      <w:t>PLANNING STUDIO  |  DESIGN REVIEW BRIEF</w:t>
    </w:r>
    <w:r>
      <w:rPr>
        <w:rFonts w:ascii="Calibri" w:hAnsi="Calibri"/>
        <w:color w:val="65758B"/>
        <w:sz w:val="17"/>
      </w:rPr>
      <w:tab/>
      <w:t>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36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36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360"/>
        </w:tabs>
        <w:ind w:left="720" w:hanging="360"/>
      </w:pPr>
      <w:rPr>
        <w:rFonts w:ascii="Calibri" w:hAnsi="Calibri"/>
      </w:rPr>
    </w:lvl>
  </w:abstractNum>
  <w:num w:numId="13">
    <w:abstractNumId w:val="12"/>
  </w:num>
  <w:abstractNum w:abstractNumId="13">
    <w:multiLevelType w:val="singleLevel"/>
    <w:lvl w:ilvl="0">
      <w:start w:val="1"/>
      <w:numFmt w:val="decimal"/>
      <w:lvlText w:val="%1."/>
      <w:lvlJc w:val="left"/>
      <w:pPr>
        <w:tabs>
          <w:tab w:val="num" w:pos="360"/>
        </w:tabs>
        <w:ind w:left="720" w:hanging="360"/>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Studio and Central Personal Repository — Overall Design Review Brief</dc:title>
  <dc:subject>Self-contained design synthesis for Grok and Robert</dc:subject>
  <dc:creator>Robert van Stedum and Codex</dc:creator>
  <cp:keywords>mini-moi, Planning Studio, personal repository, design review, provenance</cp:keywords>
  <dc:description>generated by python-docx</dc:description>
  <cp:lastModifiedBy/>
  <cp:revision>1</cp:revision>
  <dcterms:created xsi:type="dcterms:W3CDTF">2013-12-23T23:15:00Z</dcterms:created>
  <dcterms:modified xsi:type="dcterms:W3CDTF">2013-12-23T23:15:00Z</dcterms:modified>
  <cp:category/>
</cp:coreProperties>
</file>