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rFonts w:ascii="Arial" w:cs="Arial" w:eastAsia="Arial" w:hAnsi="Arial"/>
          <w:b/>
          <w:bCs/>
          <w:sz w:val="32"/>
          <w:szCs w:val="32"/>
        </w:rPr>
        <w:t xml:space="preserve">Component Replacement Logic Table — C6: Voltage References</w:t>
      </w:r>
    </w:p>
    <w:p>
      <w:pPr>
        <w:spacing w:after="120"/>
      </w:pPr>
      <w:r>
        <w:rPr>
          <w:rFonts w:ascii="Arial" w:cs="Arial" w:eastAsia="Arial" w:hAnsi="Arial"/>
          <w:sz w:val="18"/>
          <w:szCs w:val="18"/>
        </w:rPr>
        <w:t xml:space="preserve">Family ID: C6  |  Block: C — Standard ICs  |  Complexity: Moderate  |  Total Attributes: 20</w:t>
      </w:r>
    </w:p>
    <w:p>
      <w:pPr>
        <w:spacing w:after="120"/>
      </w:pPr>
      <w:r>
        <w:rPr>
          <w:rFonts w:ascii="Arial" w:cs="Arial" w:eastAsia="Arial" w:hAnsi="Arial"/>
          <w:sz w:val="18"/>
          <w:szCs w:val="18"/>
        </w:rPr>
        <w:t xml:space="preserve">Scope: Precision voltage references including band-gap series (LM4040, REF3x, LT6654, ADR3x, MAX6033), buried Zener series (LTZ1000, REF102, AD587), and shunt/adjustable types (TL431, LM4041, LM385, LM336). Covers fixed-output and adjustable-output types from ultralow-power (&lt;25 µA Iq) to high-stability (&lt;1 ppm/1000h) grades across SOT-23, SC70, SOIC, DFN, and TO-92 packages.</w:t>
      </w:r>
    </w:p>
    <w:p>
      <w:pPr>
        <w:spacing w:after="120"/>
      </w:pPr>
      <w:r>
        <w:rPr>
          <w:rFonts w:ascii="Arial" w:cs="Arial" w:eastAsia="Arial" w:hAnsi="Arial"/>
          <w:sz w:val="18"/>
          <w:szCs w:val="18"/>
        </w:rPr>
        <w:t xml:space="preserve">Related Families: C1 (LDOs) — share dropout and supply range concepts; B3 (Zener Diodes) — precision Zener/shunt reference overlap; C9 (ADCs/DACs) — primary consumer of precision references; MLCC (12) — output bypass and NR-pin filter capacitors are critical passive partners.</w:t>
      </w:r>
    </w:p>
    <w:p>
      <w:pPr>
        <w:spacing w:after="200"/>
      </w:pP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3200"/>
        <w:gridCol w:w="586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1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Logic Type</w:t>
            </w:r>
          </w:p>
        </w:tc>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Matching Rule</w:t>
            </w:r>
          </w:p>
        </w:tc>
        <w:tc>
          <w:tcPr>
            <w:tcW w:type="dxa" w:w="58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Engineering Reasoning</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IDENTITY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Output Voltage
(Vout — nominal reference voltage)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Output voltage must match exactly. A 2.500V reference cannot substitute for a 2.048V or 3.000V reference regardless of accuracy class. Verify the replacement nominal Vout and its full tolerance band at the actual operating temperature both fall within what the downstream circuit can accept.</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The output voltage is the defining characteristic of the device — the ADC reference input, DAC reference input, feedback resistor divider, or threshold comparator all depend on a specific voltage. Even a small deviation produces a proportional gain error in every measurement or conversion. A 2.500V reference with 0.1% initial accuracy spans 2.4975V–2.5025V. A replacement at 0.2% spans 2.4950V–2.5050V — the wider band may fall outside what the downstream ADC can tolerate without recalibration. For adjustable-output references, verify the trim resistor network produces the required output with the replacement's nominal Vout and trim range. Some buried Zener references have an internal ~7V Zener trimmed to a nominal output (e.g., 5.000V or 10.000V) — the nominal internal Zener voltage is not the output voltage; only the output voltage matters for substitution.</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Reference Architecture
(Band-gap / Buried Zener / XFET)</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Architecture is an Identity attribute for precision applications (&gt;14-bit ADC reference, metrology, calibration). Band-gap and buried Zener have fundamentally different TC curve shapes, noise floors, and long-term stability profiles. Substituting across architectures requires comparison of TC curve shape — not just the headline ppm/°C number.</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Three main architectures define the voltage reference landscape. Band-gap references (LM4040, REF3x, LT6654, MAX6033, ADR3x) use the ~1.25V silicon band-gap voltage, amplified to the desired output. They run from low supply voltages (1.8V+), draw microamps of quiescent current, and have a parabolic TC curve with a 'bow temperature' peak designed near 25°C. Buried Zener references (LTZ1000, REF102, AD587, MAX6350) operate a subsurface Zener diode at a controlled reverse-bias current. They achieve the lowest long-term drift (sub-ppm/1000h) and lowest TC available (~0.05 ppm/°C for the LTZ1000), but require higher supply voltages (&gt;6V), higher quiescent current (1–5mA), and careful thermal management and PCB layout. XFET references (select Analog Devices parts) use a JFET-based architecture for ultralow 1/f noise, targeting precision low-frequency and audio applications. The substitution concern: the TC curve shape of band-gap is parabolic; buried Zener can be more linear. A system that applies external TC compensation tuned to one curve shape will introduce systematic error if the architecture changes. For general-purpose non-precision applications, architecture is Application Review rather than a hard gate.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Configuration
(Series 2-terminal / Series 3-terminal / Shunt 2-terminal / Shunt 3-terminal adjustable)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Configuration is a hard Identity gate. Series references actively drive their output pin from an internal error amplifier. Shunt references (TL431, LM4041, LM385) clamp in parallel with the load and require an external series resistor — they do not drive the output. The two configurations are architecturally incompatible without circuit modification.</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This is the most common categorical error in voltage reference substitution. A shunt reference is functionally a precision programmable Zener diode. The circuit provides a current source (the series resistor from the supply rail) and the shunt device sinks whatever current is necessary to maintain its reference voltage. Circuit topology: Vsupply -&gt; Rseries -&gt; (reference node) -&gt; shunt device -&gt; GND, with the load also at the reference node. A series reference actively drives its Vout pin — it has defined output impedance, output current capability, and a dedicated GND pin. It does not require an external series resistor. Circuit identification: if the original device has a series resistor from the supply rail to the device's reference pin and the device sits between that node and ground, it is a shunt topology. If the device has a dedicated Vout pin connected to the load, it is series topology. The TL431 family dominates shunt references — adjustable from ~2.5V to 36V via two programming resistors, extremely low cost, and ubiquitous in SMPS feedback networks, precision thresholds, and LED constant-current drivers. Substituting a fixed series reference into a TL431 feedback divider topology would completely change the regulation voltage and destroy the feedback loop.</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Output Voltage Adjustability
(Fixed output / Trim pin / Resistor-programmable)</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 (Flag)</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Fixed vs. adjustable is an Identity Flag. If the original has a trim pin used for factory or field calibration and the replacement lacks one, the trimmed calibration offset is lost and initial accuracy reverts to the untrimmed specification. If the original is resistor-programmable and the replacement is fixed, the circuit cannot be set to the required voltage.</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Many precision series references include a trim pin allowing ±0.5% to ±2% adjustment via an external resistor or potentiometer. This capability is used in precision instruments to null manufacturing tolerances and achieve true initial accuracy at the system level. When a trimmed reference is replaced by an untrimmed part, the output voltage shifts by up to the full untrimmed initial accuracy (e.g., ±0.1% = ±2.5mV on a 2.500V reference). For a 16-bit ADC (1 LSB = 38µV at 2.500V reference), a 2.5mV shift is 66 LSBs of gain error — clearly unacceptable without re-trimming. Resistor-programmable adjustable references (TL431 with two external resistors, LT6654 with one resistor) allow any output voltage within the device's range to be set. These cannot be substituted with fixed-output references unless the fixed voltage happens to match the programmed output exactly.</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ACCURACY &amp; TEMPERATURE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Initial Accuracy
(Vout tolerance at 25°C, expressed as ±% or ±mV)</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initial accuracy must equal or be tighter than the original. Wider initial accuracy directly degrades system gain error. Evaluate at the actual Vout — 0.1% on a 2.500V reference = ±2.5mV; on a 5.000V reference = ±5.0mV. Verify whether the spec is before or after factory trim.</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Initial accuracy is the worst-case deviation of the actual Vout from the nominal at 25°C, before any user trimming or system calibration. It directly sets the system gain error floor. Typical grades: 0.02% (flagship precision), 0.05% (high precision), 0.1% (precision), 0.2% (standard), 0.5% (economy). For ADC/DAC applications, gain error in LSBs = initial_accuracy_fraction x 2^N. For a 16-bit ADC and 0.05% reference: gain error = 0.0005 x 65536 = 32.8 LSBs. For 0.1%: 65.5 LSBs. The difference between 0.05% and 0.1% is 32 LSBs of gain error at 16-bit resolution. Initial accuracy is independent from TC drift and long-term stability — a device can have tight initial accuracy but poor TC, or excellent TC but wider initial accuracy. Both must be evaluated independently.</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Temperature Coefficient
(TC — ppm/°C over full operating temperature range)</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TC must equal or be lower than the original over the same temperature range. TC is the dominant error source in precision references across temperature. Verify the specification method (box method vs. average slope) is consistent between original and replacement — the box method always gives a higher number.</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Temperature coefficient describes how much the output voltage changes per degree of temperature change. A 5 ppm/°C reference operating over a 50°C range drifts 250 ppm total = 0.025% = 625µV on a 2.500V reference. For a 16-bit ADC (1 LSB = 38µV), this is 16 LSBs of drift over temperature. Typical TC grades: &lt;1 ppm/°C (ultraprecision buried Zener), 3–5 ppm/°C (high precision band-gap), 10–25 ppm/°C (precision), 50–100 ppm/°C (standard). TC is specified in two ways: (1) box method — (Vmax - Vmin) / (Vnom x delta-T), which captures the worst-case swing over the full temperature range; and (2) average slope — a linear fit to the TC curve. The box method always gives a higher (worse) number. When comparing datasheets, verify which method is used — a device specified at 10 ppm/°C average may be equivalent to 15 ppm/°C box method. Band-gap TC curves are parabolic, with minimum drift at the bow temperature and worsening toward the extremes.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TC Grade / Accuracy Grade
(Letter or numeric suffix encoding accuracy + TC tier together)</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 (Flag)</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TC/accuracy grade suffix must match or improve. Many reference families encode both initial accuracy and TC in a single suffix letter (A, B, C) or numeric code. Substituting a lower grade relaxes both parameters simultaneously. Verify the numerical values of both parameters, not just the grade letter.</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Most precision voltage reference families encode accuracy and TC tier together in the part number suffix because they come from the same die characterization and selection process. Examples: REF5025A = ±0.05%, 3 ppm/°C; REF5025B = ±0.1%, 5 ppm/°C; REF5025 (no suffix) = ±0.2%, 10 ppm/°C. LT6654A = ±0.05% initial, 5 ppm/°C; LT6654 = ±0.1% initial, 10 ppm/°C. The matching rule: the replacement grade must encode equal or better performance on both dimensions. If the original is 'A' grade and only 'B' grade is available, both initial accuracy and TC relax simultaneously. Flag as Application Review with the numerical degradation calculated for the actual ADC resolution and application temperature range.</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NOISE &amp; STABILITY</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Output Voltage Noise
(en — µVrms over 0.1–10 Hz band; nV/√Hz spectral density at higher frequencies)</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noise must equal or be lower than the original. For precision ADC references, the 0.1–10 Hz low-frequency (1/f) noise must be below 1 LSB of the ADC. High-frequency noise (nV/√Hz) matters for fast-sampling ADCs. Both bands must be checked independently.</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Voltage reference noise adds directly to the ADC noise floor and cannot be averaged away like thermal noise because the low-frequency component is correlated across many conversion cycles. The 0.1–10 Hz band is the critical specification for precision DC and low-frequency measurements. Typical values: 3 µVrms (low-noise band-gap), 6–15 µVrms (standard band-gap), &lt;1 µVrms (buried Zener at controlled current). For a 16-bit ADC with 2.500V reference: 1 LSB = 38 µV. A reference with 6 µVrms 0.1–10 Hz noise contributes ~0.16 LSB noise — acceptable. For 24-bit ADCs: 1 LSB = 149 nV. A 6 µVrms reference contributes ~40 LSBs of noise — completely unacceptable without heavy filtering. Spectral noise density (nV/√Hz) matters for high-speed ADCs: noise contribution = spectral_density x sqrt(ADC_bandwidth). For audio ADCs: the 1/f corner frequency determines the noise floor at 20 Hz — low-noise references for audio should have corners below 100 Hz.</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Long-Term Stability / Drift
(ppm/1000 hours at operating temperature)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Long-term stability must equal or be better than the original for precision and metrology applications. Band-gap references typically drift 25–100 ppm/1000h. Buried Zener references drift &lt;1–5 ppm/1000h. Secondary for most applications; primary for metrology, calibrators, and voltage standards.</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Long-term stability describes how much the reference output drifts over time at a fixed temperature — a separate mechanism from TC drift. The dominant mechanism in band-gap references is stress relaxation in the die package and bond wires following assembly. Most of the long-term drift occurs in the first few hundred hours (burn-in) and then stabilizes. Burn-in at elevated temperature is used in high-stability references to pre-stabilize the drift before shipment. Typical long-term drift: standard band-gap 25–100 ppm/1000h, precision band-gap 5–25 ppm/1000h, buried Zener 0.5–5 ppm/1000h, LTZ1000-class &lt;0.5 ppm/1000h. For annual calibration intervals: 50 ppm/1000h = ~438 ppm/year. For metrology-grade equipment, long-term stability becomes as important as TC and is a primary matching criterion. When substituting for a high-stability reference in a calibrated system, the calibration interval may need to be shortened if the replacement has worse long-term stability.</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Output Noise Filtering
(Noise Reduction / NR pin — external capacitor low-pass filter)</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Application Review</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If the original has an NR pin used for noise filtering and the replacement lacks one, the low-pass filtering is lost and output noise reverts to the unfiltered specification. If the replacement has an NR pin but the original did not, verify PCB has a placement site for the capacitor. Flag as Application Review if noise budget is tight.</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Many precision band-gap references include a noise-reduction (NR) or bypass (BYP) pin that connects to an internal node of the band-gap amplifier, allowing an external capacitor to low-pass filter the output noise. A 100nF to 10µF capacitor on the NR pin can reduce 0.1–10 Hz noise by 10–20x. The NR pin implementation varies: in some devices the capacitor is between NR and GND; in others between NR and Vout. The capacitor does not add significant output settling time in most designs, but very large values (&gt;100µF) can slow startup. If the original uses an NR pin with an external capacitor and the replacement lacks an NR pin, assembled noise will increase from the filtered level back to the unfiltered level. In a 24-bit ADC application where the NR capacitor was critical to achieving sub-1-LSB noise, this is a blocking concern. For 12–16-bit ADC applications, the unfiltered noise of most modern precision references is still adequate — Application Review.</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ELECTRICAL INTERFACE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Input Voltage Range
(Vin_min to Vin_max — supply voltage range for series references)</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Vin range must contain the actual circuit supply voltage. Vin_min is determined by dropout: Vin_min = Vout + Vdropout. If the supply can dip below Vin_min under any operating condition, the reference will drop out of regulation. Vin_max must not be exceeded under any transient.</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The input voltage range for series references has a minimum set by dropout and a maximum set by absolute maximum ratings. Dropout voltage is the minimum headroom between Vin and Vout required for full accuracy: a 5.000V reference with 500mV dropout requires at least 5.5V supply. If the supply is a 5V rail that droops to 4.8V under load, the reference will drop out of regulation. Low-dropout references (LT6654: 300mV dropout, MAX6033: 200mV dropout) enable 5V reference operation from a 5V ±5% supply. Standard references may require 1–2V of headroom. For 3.3V-supply systems, the reference output voltage is constrained: a 3.000V reference with 300mV dropout works from 3.3V; a 3.000V reference with 600mV dropout does not. The Vin maximum sets the absolute maximum supply — verify worst-case supply transients against the replacement's Vin_max, particularly in industrial environments with inductive load switching.</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Dropout Voltage
(Vin - Vout minimum headroom for full accuracy)</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dropout voltage must equal or be lower than the original, evaluated at the maximum load current and worst-case temperature. Higher dropout in the replacement will cause under-regulation under tight supply headroom conditions — not just functional dropout but accuracy degradation begins before full dropout.</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Dropout voltage for voltage references (minimum Vin - Vout headroom for full accuracy) behaves similarly to LDO regulators — below the dropout voltage, the output follows the input minus a small offset rather than holding the reference voltage. For precision applications this is an accuracy-critical threshold: the output may still be 'close' to nominal near dropout, but TC and noise performance degrade before full dropout occurs. Some datasheets specify the minimum Vin for 'full accuracy' vs. the absolute minimum Vin for any regulation — check which is being compared. Low-dropout precision references are specifically designed for battery-powered and 3.3V-supply applications where headroom is limited. Standard band-gap references typically need 500mV–1.5V of headroom. Dropout voltage also determines worst-case power dissipation: at maximum Vin, Pdiss = (Vin_max - Vout) x Iout + Vin_max x Iq. Verify the package thermal rating covers this dissipation.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Quiescent Current
(Iq — supply current with no output load)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Iq must equal or be lower than the original for battery-powered and power-budget-constrained designs. For shunt references, the minimum cathode current (Ika_min) must be maintained through the external series resistor at all operating conditions — verify Rseries value is compatible with replacement's Ika_min.</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Quiescent current in a series reference is the supply current drawn at zero load — the internal bias current of the band-gap circuit. Unlike LDOs, the reference draws a relatively fixed Iq regardless of load. Typical ranges: ultralow power references (MAX6012, LT6654-1) 25–60 µA; standard precision references (REF3x, ADR3x) 75–250 µA; high-precision/low-noise references (AD780, REF102) 0.5–3 mA; buried Zener references (LTZ1000) 2–5 mA. For shunt references (TL431): the minimum cathode current Ika_min (typically 0.5–1 mA) must be supplied through the external series resistor at all conditions. Rseries = (Vsupply_min - Vref) / (Ika_min + Iload_max). At maximum supply and minimum load, verify the cathode current does not exceed the device's maximum rating — excess current produces excess power dissipation and temperature rise.</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Output Current / Load Current Capability
(Iout_max — current source and sink capability)</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output current capability must equal or exceed the original at the actual load. For references driving only an ADC reference input, this is rarely a constraint (&lt;1 mA). For references driving resistor networks or multiple ADC inputs in parallel, verify the full current budget including ADC reference input spikes at the sample rate.</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Precision voltage references are not power sources — they are designed for low-load, high-accuracy operation. Most precision band-gap references can source 5–15 mA continuously at full accuracy. The accuracy specifications are only guaranteed up to the rated maximum load current — exceeding it causes Vout to droop as the internal output stage's output impedance creates a voltage drop. Output impedance for precision references is typically 0.1–0.5 Ohm at DC. For SAR ADC reference inputs: the ADC creates brief current spikes at the sample rate as the internal capacitive DAC charges. At high sample rates (100kSPS to 1MSPS), reference current spikes can reach 1–10 mA peak. A bypass capacitor on the reference output absorbs these spikes — verify the bypass capacitor value is compatible with the replacement's stability requirements. For references driving resistor networks as precision dividers: calculate the total current drawn by all resistors and verify it is within the replacement's rated output current with adequate margin.</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THERMAL &amp; PACKAGE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Operating Temperature Range
(Commercial 0/+70°C, Industrial -40/+85°C, Automotive -40/+125°C)</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temperature range must fully cover the application operating range. TC and accuracy specifications are guaranteed only over the rated temperature range — a commercial-grade reference used in an industrial environment will not maintain its rated TC at -40°C or +85°C.</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Temperature range for precision references affects both functional operation (output voltage in regulation) and accuracy (TC specification applies only over the rated range). A commercial-grade reference rated 0°C to +70°C will operate outside its TC specification at industrial temperatures. This matters particularly for band-gap references whose TC curve is parabolic — the bow temperature is designed near the center of the rated range, and the TC is worst at the extremes. At temperatures beyond the rated range, the TC can be significantly worse than the datasheet specification. For automotive applications, AEC-Q100 qualification adds reliability screening (HTOL, ELFR, latch-up) beyond temperature range compliance.</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AEC-Q100 Qualification
(Automotive grade — Grade 0, 1, 2, or 3)</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 (Flag)</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AEC-Q100 is an Identity Flag (hard gate) for automotive applications. Non-automotive-qualified parts cannot substitute in AEC-qualified designs regardless of electrical match. Temperature range compliance alone is not sufficient — reliability screening is required.</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Precision voltage references appear in automotive applications as ADC references in battery management systems, motor control, and sensor interface circuits. AEC-Q100 qualification requires HTOL at Tj_max, ELFR, ESD to AEC levels, and latch-up at 100mA. For voltage references specifically, automotive grades may specify tighter long-term stability because vehicle lifetimes (10–15 years) are long relative to the 1000h stability measurement period. Automotive-qualified references (REF6050-Q1, MAX6070AAUT, LT6654A-TS8) are specifically tested and documented for automotive use. Some automotive designs in ADAS and powertrain applications require references with known, documented long-term drift budgets — verify the replacement's stability data covers the vehicle's expected service life.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Package / Footprint
(SOT-23-3, SOT-23-5, SC70-5, SOIC-8, DFN, MSOP, TO-92)</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Application Review</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Package must match PCB footprint for drop-in replacement. Note that SOT-23-3 (3-pin) and SOT-23-5 (5-pin) have different footprints despite similar outlines. SC70 is smaller than SOT-23 with 0.65mm pin pitch vs. 0.95mm — the footprints are not compatible.</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Voltage references are available in a wide range of small packages. SOT-23-5 (5-pin SOT-23) is the dominant package for modern precision band-gap references, accommodating output, input, GND, trim/NR, and enable pins in 0.95mm pitch. SOT-23-3 (3-pin) is used for simple 2-terminal series references and adjustable shunt references (TL431). SC70-5 offers a smaller footprint than SOT-23-5 but with 0.65mm pitch — not compatible. SOIC-8 is used for higher-pin-count references with multiple outputs or differential outputs. DFN-6 and MSOP-8 offer intermediate sizes. TO-92 (through-hole) is still used for TL431, LM336, and LM385 in legacy designs. The TL431 exists in both SOT-23 surface mount and TO-92 through-hole — different footprints even within the same part family.</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COMPLIANCE &amp; OPERATIONAL</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Enable / Shutdown Pin
(Active-high enable vs. active-low shutdown; presence or absence)</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 (Flag)</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Enable pin polarity is an Identity Flag. If the original has an active-low shutdown and the replacement has an active-high enable, the reference will be permanently disabled in the existing circuit. If the original has no enable pin and the replacement does, verify the enable pin does not float to an indeterminate state.</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Some precision references include an enable or shutdown pin for power management in battery-powered applications. Polarity varies by manufacturer: active-high enable (operates when HIGH, shuts down when LOW) vs. active-low shutdown (shuts down when pulled LOW, operates when HIGH or floating). If the existing circuit pulls the enable/shutdown pin low to conserve power between measurements, and the replacement interprets a low level as 'enable' rather than 'shutdown,' the reference will be permanently off. Idle supply current in shutdown also matters: some references achieve &lt;1 µA in shutdown; others only reduce to ~10 µA. Verify the replacement's shutdown current meets the system power budget for the application's duty cycle.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Packaging Format
(Tape &amp; Reel 3000/1000 pcs / Cut Tape / Tube / Bulk)</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Operational</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Packaging format must match assembly process. SOT-23 and SC70 precision references are supplied on tape-and-reel for automated SMT. Verify reel quantity (1000 or 3000 parts) and reel diameter match the SMT machine feeders used in production.</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Precision references in SOT-23 and SC70 packages are typically supplied in 3000-piece tape-and-reel on 7-inch reels. Cut tape is available for prototyping. TO-92 through-hole parts are supplied in bulk or tube. As with all precision analog components, verify the moisture sensitivity level (MSL) — most SOT-23 precision references are MSL-1 (unlimited floor life at ≤30°C/85% RH). Ceramic-package and hermetic variants used in military or high-reliability applications may have more restrictive MSL ratings and require baking before reflow if the moisture exposure window has elapsed.</w:t>
            </w:r>
          </w:p>
        </w:tc>
      </w:tr>
    </w:tbl>
    <w:p>
      <w:pPr>
        <w:spacing w:before="400" w:after="120"/>
      </w:pPr>
    </w:p>
    <w:p>
      <w:pPr>
        <w:spacing w:before="240" w:after="120"/>
      </w:pPr>
      <w:r>
        <w:rPr>
          <w:rFonts w:ascii="Arial" w:cs="Arial" w:eastAsia="Arial" w:hAnsi="Arial"/>
          <w:b/>
          <w:bCs/>
          <w:sz w:val="26"/>
          <w:szCs w:val="26"/>
        </w:rPr>
        <w:t xml:space="preserve">Engineering Notes — Voltage Reference Substitution Gotchas</w:t>
      </w:r>
    </w:p>
    <w:p>
      <w:pPr>
        <w:spacing w:before="240" w:after="120"/>
      </w:pPr>
      <w:r>
        <w:rPr>
          <w:rFonts w:ascii="Arial" w:cs="Arial" w:eastAsia="Arial" w:hAnsi="Arial"/>
          <w:b/>
          <w:bCs/>
          <w:sz w:val="22"/>
          <w:szCs w:val="22"/>
        </w:rPr>
        <w:t xml:space="preserve">1. Series vs. Shunt: The Categorical Divide That Trips Most Substitutions</w:t>
      </w:r>
    </w:p>
    <w:p>
      <w:pPr>
        <w:spacing w:after="120"/>
      </w:pPr>
      <w:r>
        <w:rPr>
          <w:rFonts w:ascii="Arial" w:cs="Arial" w:eastAsia="Arial" w:hAnsi="Arial"/>
          <w:sz w:val="18"/>
          <w:szCs w:val="18"/>
        </w:rPr>
        <w:t xml:space="preserve">The most common voltage reference substitution error is treating series and shunt references as interchangeable because they produce a similar voltage. They are architecturally incompatible without circuit modification.</w:t>
      </w:r>
    </w:p>
    <w:p>
      <w:pPr>
        <w:spacing w:after="60"/>
        <w:ind w:left="480" w:hanging="240"/>
      </w:pPr>
      <w:r>
        <w:rPr>
          <w:rFonts w:ascii="Arial" w:cs="Arial" w:eastAsia="Arial" w:hAnsi="Arial"/>
          <w:sz w:val="18"/>
          <w:szCs w:val="18"/>
        </w:rPr>
        <w:t xml:space="preserve">•  Series reference topology: Vsupply -&gt; reference IN pin -&gt; [internal regulation] -&gt; reference OUT pin -&gt; load. The device actively drives the output. No external series resistor required.</w:t>
      </w:r>
    </w:p>
    <w:p>
      <w:pPr>
        <w:spacing w:after="60"/>
        <w:ind w:left="480" w:hanging="240"/>
      </w:pPr>
      <w:r>
        <w:rPr>
          <w:rFonts w:ascii="Arial" w:cs="Arial" w:eastAsia="Arial" w:hAnsi="Arial"/>
          <w:sz w:val="18"/>
          <w:szCs w:val="18"/>
        </w:rPr>
        <w:t xml:space="preserve">•  Shunt reference topology: Vsupply -&gt; Rseries -&gt; (reference node) -&gt; [shunt device sinking current to GND]. The load is also at the reference node. The shunt device clamps — it does not drive. Remove Rseries and the circuit does not work.</w:t>
      </w:r>
    </w:p>
    <w:p>
      <w:pPr>
        <w:spacing w:after="60"/>
        <w:ind w:left="480" w:hanging="240"/>
      </w:pPr>
      <w:r>
        <w:rPr>
          <w:rFonts w:ascii="Arial" w:cs="Arial" w:eastAsia="Arial" w:hAnsi="Arial"/>
          <w:sz w:val="18"/>
          <w:szCs w:val="18"/>
        </w:rPr>
        <w:t xml:space="preserve">•  TL431 identification: three pins (Anode / Cathode / Reference). Two programming resistors set the voltage. If there is a resistor from the supply rail to the cathode node, it is shunt topology.</w:t>
      </w:r>
    </w:p>
    <w:p>
      <w:pPr>
        <w:spacing w:after="60"/>
        <w:ind w:left="480" w:hanging="240"/>
      </w:pPr>
      <w:r>
        <w:rPr>
          <w:rFonts w:ascii="Arial" w:cs="Arial" w:eastAsia="Arial" w:hAnsi="Arial"/>
          <w:sz w:val="18"/>
          <w:szCs w:val="18"/>
        </w:rPr>
        <w:t xml:space="preserve">•  LM4040 vs. LM4041: the LM4040 is a shunt reference (2-terminal, like a Zener); the LM4041 is an adjustable shunt with a third reference pin. Despite similar names, both are shunt types and are not interchangeable with series references.</w:t>
      </w:r>
    </w:p>
    <w:p>
      <w:pPr>
        <w:spacing w:before="240" w:after="120"/>
      </w:pPr>
      <w:r>
        <w:rPr>
          <w:rFonts w:ascii="Arial" w:cs="Arial" w:eastAsia="Arial" w:hAnsi="Arial"/>
          <w:b/>
          <w:bCs/>
          <w:sz w:val="22"/>
          <w:szCs w:val="22"/>
        </w:rPr>
        <w:t xml:space="preserve">2. TC Curve Shape: Why ppm/°C Alone Is Not Enough for Precision Substitution</w:t>
      </w:r>
    </w:p>
    <w:p>
      <w:pPr>
        <w:spacing w:after="120"/>
      </w:pPr>
      <w:r>
        <w:rPr>
          <w:rFonts w:ascii="Arial" w:cs="Arial" w:eastAsia="Arial" w:hAnsi="Arial"/>
          <w:sz w:val="18"/>
          <w:szCs w:val="18"/>
        </w:rPr>
        <w:t xml:space="preserve">The headline TC specification is a single number summarizing a curve. For precision substitutions, the curve shape matters as much as the magnitude.</w:t>
      </w:r>
    </w:p>
    <w:p>
      <w:pPr>
        <w:spacing w:after="60"/>
        <w:ind w:left="480" w:hanging="240"/>
      </w:pPr>
      <w:r>
        <w:rPr>
          <w:rFonts w:ascii="Arial" w:cs="Arial" w:eastAsia="Arial" w:hAnsi="Arial"/>
          <w:sz w:val="18"/>
          <w:szCs w:val="18"/>
        </w:rPr>
        <w:t xml:space="preserve">•  Band-gap TC curve is parabolic: TC = 0 at the bow temperature (typically 25°C to 35°C), worsening toward the temperature extremes. A system calibrated at 25°C near the bow relies on this curve shape.</w:t>
      </w:r>
    </w:p>
    <w:p>
      <w:pPr>
        <w:spacing w:after="60"/>
        <w:ind w:left="480" w:hanging="240"/>
      </w:pPr>
      <w:r>
        <w:rPr>
          <w:rFonts w:ascii="Arial" w:cs="Arial" w:eastAsia="Arial" w:hAnsi="Arial"/>
          <w:sz w:val="18"/>
          <w:szCs w:val="18"/>
        </w:rPr>
        <w:t xml:space="preserve">•  Buried Zener TC can be more linear or can have a positive slope that is externally compensated. The LTZ1000 application circuit includes a heater to hold the Zener at constant temperature, eliminating TC entirely in exchange for power dissipation (~100mW).</w:t>
      </w:r>
    </w:p>
    <w:p>
      <w:pPr>
        <w:spacing w:after="60"/>
        <w:ind w:left="480" w:hanging="240"/>
      </w:pPr>
      <w:r>
        <w:rPr>
          <w:rFonts w:ascii="Arial" w:cs="Arial" w:eastAsia="Arial" w:hAnsi="Arial"/>
          <w:sz w:val="18"/>
          <w:szCs w:val="18"/>
        </w:rPr>
        <w:t xml:space="preserve">•  TC compensation circuits: some precision instruments include an external TC compensation network (thermistor + resistors in series with the trim pin) tuned to the specific TC curve shape of the original reference. Replacing with a device of the same ppm/°C but different curve shape will cause the compensation to partially cancel in the wrong direction.</w:t>
      </w:r>
    </w:p>
    <w:p>
      <w:pPr>
        <w:spacing w:after="60"/>
        <w:ind w:left="480" w:hanging="240"/>
      </w:pPr>
      <w:r>
        <w:rPr>
          <w:rFonts w:ascii="Arial" w:cs="Arial" w:eastAsia="Arial" w:hAnsi="Arial"/>
          <w:sz w:val="18"/>
          <w:szCs w:val="18"/>
        </w:rPr>
        <w:t xml:space="preserve">•  Matched-pair applications: differential measurement circuits sometimes use two references with closely matched TC so the differential output has near-zero TC even if each individual reference has moderate TC. Substituting only one half invalidates the matching.</w:t>
      </w:r>
    </w:p>
    <w:p>
      <w:pPr>
        <w:spacing w:before="240" w:after="120"/>
      </w:pPr>
      <w:r>
        <w:rPr>
          <w:rFonts w:ascii="Arial" w:cs="Arial" w:eastAsia="Arial" w:hAnsi="Arial"/>
          <w:b/>
          <w:bCs/>
          <w:sz w:val="22"/>
          <w:szCs w:val="22"/>
        </w:rPr>
        <w:t xml:space="preserve">3. Output Bypass Capacitor: Hidden Stability Risk</w:t>
      </w:r>
    </w:p>
    <w:p>
      <w:pPr>
        <w:spacing w:after="120"/>
      </w:pPr>
      <w:r>
        <w:rPr>
          <w:rFonts w:ascii="Arial" w:cs="Arial" w:eastAsia="Arial" w:hAnsi="Arial"/>
          <w:sz w:val="18"/>
          <w:szCs w:val="18"/>
        </w:rPr>
        <w:t xml:space="preserve">Precision voltage references can be conditionally stable with respect to the output bypass capacitor — less well-known than the same issue in LDOs, but real.</w:t>
      </w:r>
    </w:p>
    <w:p>
      <w:pPr>
        <w:spacing w:after="60"/>
        <w:ind w:left="480" w:hanging="240"/>
      </w:pPr>
      <w:r>
        <w:rPr>
          <w:rFonts w:ascii="Arial" w:cs="Arial" w:eastAsia="Arial" w:hAnsi="Arial"/>
          <w:sz w:val="18"/>
          <w:szCs w:val="18"/>
        </w:rPr>
        <w:t xml:space="preserve">•  Most modern precision band-gap references are stable with ceramic bypass capacitors of any value from 100nF to 100µF. This is by design in modern parts.</w:t>
      </w:r>
    </w:p>
    <w:p>
      <w:pPr>
        <w:spacing w:after="60"/>
        <w:ind w:left="480" w:hanging="240"/>
      </w:pPr>
      <w:r>
        <w:rPr>
          <w:rFonts w:ascii="Arial" w:cs="Arial" w:eastAsia="Arial" w:hAnsi="Arial"/>
          <w:sz w:val="18"/>
          <w:szCs w:val="18"/>
        </w:rPr>
        <w:t xml:space="preserve">•  Older references and certain architectures require minimum ESR on the output capacitor. The REF01/REF02 family can oscillate with very low-ESR ceramics at certain values. The datasheet will specify minimum ESR or a forbidden capacitance range.</w:t>
      </w:r>
    </w:p>
    <w:p>
      <w:pPr>
        <w:spacing w:after="60"/>
        <w:ind w:left="480" w:hanging="240"/>
      </w:pPr>
      <w:r>
        <w:rPr>
          <w:rFonts w:ascii="Arial" w:cs="Arial" w:eastAsia="Arial" w:hAnsi="Arial"/>
          <w:sz w:val="18"/>
          <w:szCs w:val="18"/>
        </w:rPr>
        <w:t xml:space="preserve">•  The NR pin capacitor is separate from the output bypass. NR connects to an internal band-gap node; its capacitor low-pass filters the internal noise. Values of 1µF to 100µF are typical. Very large NR capacitors (&gt;100µF) slow startup but do not cause output instability.</w:t>
      </w:r>
    </w:p>
    <w:p>
      <w:pPr>
        <w:spacing w:after="60"/>
        <w:ind w:left="480" w:hanging="240"/>
      </w:pPr>
      <w:r>
        <w:rPr>
          <w:rFonts w:ascii="Arial" w:cs="Arial" w:eastAsia="Arial" w:hAnsi="Arial"/>
          <w:sz w:val="18"/>
          <w:szCs w:val="18"/>
        </w:rPr>
        <w:t xml:space="preserve">•  Substitution check: verify the replacement datasheet's output capacitor stability range against what is populated on the board. If the original specified '100nF ceramic, stable' and the replacement requires 'minimum 10µF tantalum,' the existing PCB bypass will cause oscillation.</w:t>
      </w:r>
    </w:p>
    <w:p>
      <w:pPr>
        <w:spacing w:before="240" w:after="120"/>
      </w:pPr>
      <w:r>
        <w:rPr>
          <w:rFonts w:ascii="Arial" w:cs="Arial" w:eastAsia="Arial" w:hAnsi="Arial"/>
          <w:b/>
          <w:bCs/>
          <w:sz w:val="22"/>
          <w:szCs w:val="22"/>
        </w:rPr>
        <w:t xml:space="preserve">4. ADC Reference Input: Current Spikes and Settling Time</w:t>
      </w:r>
    </w:p>
    <w:p>
      <w:pPr>
        <w:spacing w:after="120"/>
      </w:pPr>
      <w:r>
        <w:rPr>
          <w:rFonts w:ascii="Arial" w:cs="Arial" w:eastAsia="Arial" w:hAnsi="Arial"/>
          <w:sz w:val="18"/>
          <w:szCs w:val="18"/>
        </w:rPr>
        <w:t xml:space="preserve">References serving ADC reference inputs face a dynamic load that is often underestimated. The ADC does not draw constant DC current — it draws current in brief spikes synchronized to the conversion process.</w:t>
      </w:r>
    </w:p>
    <w:p>
      <w:pPr>
        <w:spacing w:after="60"/>
        <w:ind w:left="480" w:hanging="240"/>
      </w:pPr>
      <w:r>
        <w:rPr>
          <w:rFonts w:ascii="Arial" w:cs="Arial" w:eastAsia="Arial" w:hAnsi="Arial"/>
          <w:sz w:val="18"/>
          <w:szCs w:val="18"/>
        </w:rPr>
        <w:t xml:space="preserve">•  SAR ADC reference current: during each conversion bit trial, the internal capacitive DAC charges to a fraction of the reference voltage. At high sample rates (100kSPS–1MSPS), reference spikes reach 1–10 mA peak at the sample rate. The reference output impedance converts these spikes to voltage glitches at the reference input, degrading conversion accuracy.</w:t>
      </w:r>
    </w:p>
    <w:p>
      <w:pPr>
        <w:spacing w:after="60"/>
        <w:ind w:left="480" w:hanging="240"/>
      </w:pPr>
      <w:r>
        <w:rPr>
          <w:rFonts w:ascii="Arial" w:cs="Arial" w:eastAsia="Arial" w:hAnsi="Arial"/>
          <w:sz w:val="18"/>
          <w:szCs w:val="18"/>
        </w:rPr>
        <w:t xml:space="preserve">•  Delta-sigma ADC reference: more continuous but modulated at the modulator frequency. Typically less severe than SAR ADC, but the reference must remain stable during the entire conversion period (up to hundreds of milliseconds for 24-bit converters).</w:t>
      </w:r>
    </w:p>
    <w:p>
      <w:pPr>
        <w:spacing w:after="60"/>
        <w:ind w:left="480" w:hanging="240"/>
      </w:pPr>
      <w:r>
        <w:rPr>
          <w:rFonts w:ascii="Arial" w:cs="Arial" w:eastAsia="Arial" w:hAnsi="Arial"/>
          <w:sz w:val="18"/>
          <w:szCs w:val="18"/>
        </w:rPr>
        <w:t xml:space="preserve">•  Bypass capacitor is essential: 10µF ceramic + 100nF ceramic directly at the ADC reference pin absorbs high-frequency spikes while the reference's internal loop handles DC. The specific bypass recommendation from the ADC datasheet should be followed. Verify the replacement reference is stable with the bypass values in the circuit.</w:t>
      </w:r>
    </w:p>
    <w:p>
      <w:pPr>
        <w:spacing w:after="60"/>
        <w:ind w:left="480" w:hanging="240"/>
      </w:pPr>
      <w:r>
        <w:rPr>
          <w:rFonts w:ascii="Arial" w:cs="Arial" w:eastAsia="Arial" w:hAnsi="Arial"/>
          <w:sz w:val="18"/>
          <w:szCs w:val="18"/>
        </w:rPr>
        <w:t xml:space="preserve">•  Startup settling time: precision band-gap references take 1–10 ms to settle to within 0.1% of final after power-up. With large NR capacitors, startup can extend to hundreds of milliseconds. If the firmware assumes the reference is settled within a fixed time after power-on, verify the replacement's startup time is within the window.</w:t>
      </w:r>
    </w:p>
    <w:p>
      <w:pPr>
        <w:spacing w:before="240" w:after="120"/>
      </w:pPr>
      <w:r>
        <w:rPr>
          <w:rFonts w:ascii="Arial" w:cs="Arial" w:eastAsia="Arial" w:hAnsi="Arial"/>
          <w:b/>
          <w:bCs/>
          <w:sz w:val="22"/>
          <w:szCs w:val="22"/>
        </w:rPr>
        <w:t xml:space="preserve">5. Long-Term Drift and Calibration Interval Implications</w:t>
      </w:r>
    </w:p>
    <w:p>
      <w:pPr>
        <w:spacing w:after="120"/>
      </w:pPr>
      <w:r>
        <w:rPr>
          <w:rFonts w:ascii="Arial" w:cs="Arial" w:eastAsia="Arial" w:hAnsi="Arial"/>
          <w:sz w:val="18"/>
          <w:szCs w:val="18"/>
        </w:rPr>
        <w:t xml:space="preserve">For instruments that are periodically calibrated, long-term drift determines the maximum acceptable calibration interval. This is typically invisible in commercial designs but becomes critical in metrology and standards applications.</w:t>
      </w:r>
    </w:p>
    <w:p>
      <w:pPr>
        <w:spacing w:after="60"/>
        <w:ind w:left="480" w:hanging="240"/>
      </w:pPr>
      <w:r>
        <w:rPr>
          <w:rFonts w:ascii="Arial" w:cs="Arial" w:eastAsia="Arial" w:hAnsi="Arial"/>
          <w:sz w:val="18"/>
          <w:szCs w:val="18"/>
        </w:rPr>
        <w:t xml:space="preserve">•  Burn-in stabilization: most long-term drift in band-gap references occurs in the first 100–1000 hours as mechanical stresses in the package relax. High-stability references are burn-in screened at elevated temperature before shipment to pre-stabilize. An unscreened replacement will drift more in its first few hundred hours of service.</w:t>
      </w:r>
    </w:p>
    <w:p>
      <w:pPr>
        <w:spacing w:after="60"/>
        <w:ind w:left="480" w:hanging="240"/>
      </w:pPr>
      <w:r>
        <w:rPr>
          <w:rFonts w:ascii="Arial" w:cs="Arial" w:eastAsia="Arial" w:hAnsi="Arial"/>
          <w:sz w:val="18"/>
          <w:szCs w:val="18"/>
        </w:rPr>
        <w:t xml:space="preserve">•  Calibration interval: for a system maintaining &lt;100 ppm total error over 1 year with a 25 ppm TC contribution, the long-term drift budget is 75 ppm/year. A reference with 50 ppm/1000h = ~438 ppm/year far exceeds this budget. A reference with 5 ppm/1000h = ~44 ppm/year is within budget.</w:t>
      </w:r>
    </w:p>
    <w:p>
      <w:pPr>
        <w:spacing w:after="60"/>
        <w:ind w:left="480" w:hanging="240"/>
      </w:pPr>
      <w:r>
        <w:rPr>
          <w:rFonts w:ascii="Arial" w:cs="Arial" w:eastAsia="Arial" w:hAnsi="Arial"/>
          <w:sz w:val="18"/>
          <w:szCs w:val="18"/>
        </w:rPr>
        <w:t xml:space="preserve">•  Thermal hysteresis: some references exhibit thermal hysteresis — the output voltage after a temperature excursion is slightly different from before the excursion even after returning to the original temperature. Hysteresis is typically 2–10 ppm for precision band-gap references and is distinct from TC drift. For metrology applications, thermal cycling history must be considered.</w:t>
      </w:r>
    </w:p>
    <w:p>
      <w:pPr>
        <w:spacing w:before="400" w:after="200"/>
      </w:pPr>
    </w:p>
    <w:p>
      <w:pPr>
        <w:spacing w:before="240" w:after="120"/>
      </w:pPr>
      <w:r>
        <w:rPr>
          <w:rFonts w:ascii="Arial" w:cs="Arial" w:eastAsia="Arial" w:hAnsi="Arial"/>
          <w:b/>
          <w:bCs/>
          <w:sz w:val="26"/>
          <w:szCs w:val="26"/>
        </w:rPr>
        <w:t xml:space="preserve">Logic Type Summary</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800"/>
        <w:gridCol w:w="600"/>
        <w:gridCol w:w="9560"/>
      </w:tblGrid>
      <w:tr>
        <w:tc>
          <w:tcPr>
            <w:tcW w:type="dxa" w:w="2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Logic Type</w:t>
            </w:r>
          </w:p>
        </w:tc>
        <w:tc>
          <w:tcPr>
            <w:tcW w:type="dxa" w:w="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Count</w:t>
            </w:r>
          </w:p>
        </w:tc>
        <w:tc>
          <w:tcPr>
            <w:tcW w:type="dxa" w:w="95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Identity</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9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Output Voltage, Reference Architecture, Configuration (Series/Shunt), Output Voltage Adjustability</w:t>
            </w:r>
          </w:p>
        </w:tc>
      </w:tr>
      <w:tr>
        <w:tc>
          <w:tcPr>
            <w:tcW w:type="dxa" w:w="28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b/>
                <w:bCs/>
                <w:sz w:val="18"/>
                <w:szCs w:val="18"/>
              </w:rPr>
              <w:t xml:space="preserve">Identity (Flag)</w:t>
            </w:r>
          </w:p>
        </w:tc>
        <w:tc>
          <w:tcPr>
            <w:tcW w:type="dxa" w:w="6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4</w:t>
            </w:r>
          </w:p>
        </w:tc>
        <w:tc>
          <w:tcPr>
            <w:tcW w:type="dxa" w:w="95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Output Voltage Adjustability (trim pin), TC/Accuracy Grade, AEC-Q100, Enable/Shutdown Polarity</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Threshold ≤</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9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Initial Accuracy, Temperature Coefficient, Output Voltage Noise, Long-Term Stability, Dropout Voltage, Quiescent Current</w:t>
            </w:r>
          </w:p>
        </w:tc>
      </w:tr>
      <w:tr>
        <w:tc>
          <w:tcPr>
            <w:tcW w:type="dxa" w:w="28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b/>
                <w:bCs/>
                <w:sz w:val="18"/>
                <w:szCs w:val="18"/>
              </w:rPr>
              <w:t xml:space="preserve">Threshold ≥</w:t>
            </w:r>
          </w:p>
        </w:tc>
        <w:tc>
          <w:tcPr>
            <w:tcW w:type="dxa" w:w="6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1</w:t>
            </w:r>
          </w:p>
        </w:tc>
        <w:tc>
          <w:tcPr>
            <w:tcW w:type="dxa" w:w="95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Output Current / Load Current Capability (Iout_max)</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Threshold ⊇</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9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Input Voltage Range (Vin), Operating Temperature Range</w:t>
            </w:r>
          </w:p>
        </w:tc>
      </w:tr>
      <w:tr>
        <w:tc>
          <w:tcPr>
            <w:tcW w:type="dxa" w:w="28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b/>
                <w:bCs/>
                <w:sz w:val="18"/>
                <w:szCs w:val="18"/>
              </w:rPr>
              <w:t xml:space="preserve">Application Review</w:t>
            </w:r>
          </w:p>
        </w:tc>
        <w:tc>
          <w:tcPr>
            <w:tcW w:type="dxa" w:w="6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2</w:t>
            </w:r>
          </w:p>
        </w:tc>
        <w:tc>
          <w:tcPr>
            <w:tcW w:type="dxa" w:w="95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Output Noise Filtering (NR pin), Package / Footprint</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Operational</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9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Packaging Format (Tape &amp; Reel / Tube / Bulk)</w:t>
            </w:r>
          </w:p>
        </w:tc>
      </w:tr>
      <w:tr>
        <w:tc>
          <w:tcPr>
            <w:tcW w:type="dxa" w:w="12960"/>
            <w:gridSpan w:val="3"/>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TOTAL: 20 attributes across 6 sections</w:t>
            </w:r>
          </w:p>
        </w:tc>
      </w:tr>
    </w:tbl>
    <w:p>
      <w:pPr>
        <w:spacing w:after="200"/>
      </w:pPr>
    </w:p>
    <w:p>
      <w:pPr>
        <w:spacing w:after="120"/>
      </w:pPr>
      <w:r>
        <w:rPr>
          <w:rFonts w:ascii="Arial" w:cs="Arial" w:eastAsia="Arial" w:hAnsi="Arial"/>
          <w:sz w:val="18"/>
          <w:szCs w:val="18"/>
        </w:rPr>
        <w:t xml:space="preserve">Document generated for Component Replacement Engine — Block C: Standard ICs. Family C6 of 9.</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2026-03-02T04:48:20.424Z</dcterms:created>
  <dcterms:modified xsi:type="dcterms:W3CDTF">2026-03-02T04:48:20.425Z</dcterms:modified>
</cp:coreProperties>
</file>

<file path=docProps/custom.xml><?xml version="1.0" encoding="utf-8"?>
<Properties xmlns="http://schemas.openxmlformats.org/officeDocument/2006/custom-properties" xmlns:vt="http://schemas.openxmlformats.org/officeDocument/2006/docPropsVTypes"/>
</file>