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32"/>
          <w:szCs w:val="32"/>
        </w:rPr>
        <w:t xml:space="preserve">Component Replacement Logic Table — C7: Interface ICs</w:t>
      </w:r>
    </w:p>
    <w:p>
      <w:pPr>
        <w:spacing w:before="0" w:after="240"/>
      </w:pPr>
      <w:r>
        <w:rPr>
          <w:rFonts w:ascii="Arial" w:cs="Arial" w:eastAsia="Arial" w:hAnsi="Arial"/>
          <w:color w:val="595959"/>
          <w:sz w:val="22"/>
          <w:szCs w:val="22"/>
        </w:rPr>
        <w:t xml:space="preserve">Family ID: C7  |  Block: C — Standard ICs  |  Complexity: Moderate-High  |  Total Attributes: 22</w:t>
      </w:r>
    </w:p>
    <w:p>
      <w:pPr>
        <w:spacing w:before="0" w:after="80"/>
      </w:pPr>
      <w:r>
        <w:rPr>
          <w:rFonts w:ascii="Arial" w:cs="Arial" w:eastAsia="Arial" w:hAnsi="Arial"/>
          <w:b/>
          <w:bCs/>
          <w:sz w:val="20"/>
          <w:szCs w:val="20"/>
        </w:rPr>
        <w:t xml:space="preserve">Scope: </w:t>
      </w:r>
    </w:p>
    <w:p>
      <w:pPr>
        <w:spacing w:before="0" w:after="120"/>
      </w:pPr>
      <w:r>
        <w:rPr>
          <w:rFonts w:ascii="Arial" w:cs="Arial" w:eastAsia="Arial" w:hAnsi="Arial"/>
          <w:sz w:val="20"/>
          <w:szCs w:val="20"/>
        </w:rPr>
        <w:t xml:space="preserve">RS-485/RS-422 transceivers (MAX485, SN65HVD1, ADM485, THVD1450, ISO3082), CAN/CAN FD transceivers (TJA1042, TJA1441, MCP2561FD, SN65HVD230, ISO1042, ADM3053), I2C bus buffers and isolators (PCA9600, P82B96, LTC4311, ISO1540, ADuM1250), and USB signal-conditioning ICs (TPD4S012, PRTR5V0U2X). Covers standard-grade, industrial-grade, automotive-grade (AEC-Q100), isolated and non-isolated variants from SOIC-8 through isolation-package SMD-16 form factors.</w:t>
      </w:r>
    </w:p>
    <w:p>
      <w:pPr>
        <w:spacing w:before="0" w:after="80"/>
      </w:pPr>
      <w:r>
        <w:rPr>
          <w:rFonts w:ascii="Arial" w:cs="Arial" w:eastAsia="Arial" w:hAnsi="Arial"/>
          <w:b/>
          <w:bCs/>
          <w:sz w:val="20"/>
          <w:szCs w:val="20"/>
        </w:rPr>
        <w:t xml:space="preserve">Related Families: </w:t>
      </w:r>
    </w:p>
    <w:p>
      <w:pPr>
        <w:spacing w:before="0" w:after="240"/>
      </w:pPr>
      <w:r>
        <w:rPr>
          <w:rFonts w:ascii="Arial" w:cs="Arial" w:eastAsia="Arial" w:hAnsi="Arial"/>
          <w:sz w:val="20"/>
          <w:szCs w:val="20"/>
        </w:rPr>
        <w:t xml:space="preserve">C5 (Logic ICs / 74-Series) — buffers, line drivers, and level translators used alongside interface ICs; B4 (TVS Diodes) — ESD protection arrays often placed on the same bus pins as interface ICs; C3 (Gate Drivers) — isolated gate driver topology shares isolation concept with isolated transceivers; C9 (ADCs/DACs) — interface ICs carry ADC/DAC communication data; Common Mode Chokes (69) — placed on RS-485 and CAN bus pairs for EMI; Ferrite Beads (70) — used on interface IC supply pins for EMI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950"/>
        <w:gridCol w:w="2460"/>
        <w:gridCol w:w="3900"/>
      </w:tblGrid>
      <w:tr>
        <w:trPr>
          <w:tblHeader/>
        </w:trPr>
        <w:tc>
          <w:tcPr>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Attribute</w:t>
            </w:r>
          </w:p>
        </w:tc>
        <w:tc>
          <w:tcPr>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Logic Type</w:t>
            </w:r>
          </w:p>
        </w:tc>
        <w:tc>
          <w:tcPr>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Matching Rule</w:t>
            </w:r>
          </w:p>
        </w:tc>
        <w:tc>
          <w:tcPr>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Engineering Reasoning</w:t>
            </w:r>
          </w:p>
        </w:tc>
      </w:tr>
      <w:tr>
        <w:tc>
          <w:tcPr>
            <w:gridSpan w:val="4"/>
            <w:tcBorders>
              <w:top w:val="single" w:color="8DB4E2" w:sz="1"/>
              <w:left w:val="single" w:color="8DB4E2" w:sz="1"/>
              <w:bottom w:val="single" w:color="8DB4E2" w:sz="1"/>
              <w:right w:val="single" w:color="8DB4E2" w:sz="1"/>
            </w:tcBorders>
            <w:shd w:fill="D6E4F0" w:val="clear"/>
            <w:tcMar>
              <w:top w:type="dxa" w:w="60"/>
              <w:left w:type="dxa" w:w="120"/>
              <w:bottom w:type="dxa" w:w="60"/>
              <w:right w:type="dxa" w:w="120"/>
            </w:tcMar>
          </w:tcPr>
          <w:p>
            <w:r>
              <w:rPr>
                <w:rFonts w:ascii="Arial" w:cs="Arial" w:eastAsia="Arial" w:hAnsi="Arial"/>
                <w:b/>
                <w:bCs/>
                <w:color w:val="1F3864"/>
                <w:sz w:val="22"/>
                <w:szCs w:val="22"/>
              </w:rPr>
              <w:t xml:space="preserve">IDENTITY</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Protocol / Interface Standard
(RS-485 / RS-422 / CAN / CAN FD / I2C / USB / LIN)</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Identity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Protocol must match exactly. RS-485, CAN, I2C, and USB transceivers are physically and logically incompatible — the differential signaling levels, termination requirements, bit encoding, and error-handling mechanisms are completely different. No cross-protocol substitution is possible without redesigning the interface circuit. Within RS-485/RS-422, verify half-duplex vs. full-duplex (see Operating Mode). Within CAN, verify classical vs. CAN FD (see CAN Standard Variant). Within I2C, verify buffer vs. isolator vs. hot-swap type. Within USB, verify speed grade (FS/HS/SS).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Interface ICs are defined by the standard they implement. RS-485 (EIA/TIA-485) uses balanced differential signaling with a ≥200 mV receiver threshold and supports 32–256 nodes per segment. CAN (ISO 11898-1/2) uses a different differential scheme with dominant/recessive states, 1 Mbit/s maximum for classical CAN, and built-in arbitration. I2C (NXP UM10204) is a bidirectional open-drain two-wire bus with address-based protocol up to 5 Mbit/s (Ultra-fast). USB has strict speed grades (FS=12 Mbit/s, HS=480 Mbit/s, SS=5 Gbit/s) with completely different physical layers. LIN is a single-wire subbus at ≤20 kbit/s for automotive low-speed accessory control. The bus pin voltages, common-mode ranges, output drive requirements, and fault protection levels are all protocol-specific — substituting across protocols causes immediate electrical incompatibility.</w:t>
            </w:r>
          </w:p>
        </w:tc>
      </w:tr>
      <w:tr>
        <w:tc>
          <w:tcPr>
            <w:tcW w:type="dxa" w:w="20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0"/>
                <w:szCs w:val="20"/>
              </w:rPr>
              <w:t xml:space="preserve">Data Rate / Speed Grade
(Maximum supported baud rate or bit rate)</w:t>
            </w:r>
          </w:p>
        </w:tc>
        <w:tc>
          <w:tcPr>
            <w:tcW w:type="dxa" w:w="9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C00000"/>
                <w:sz w:val="20"/>
                <w:szCs w:val="20"/>
              </w:rPr>
              <w:t xml:space="preserve">Identity</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Replacement data rate must equal or exceed the original. A slower device cannot replace a faster one. For RS-485: verify the replacement's maximum data rate specification covers the operating baud rate at the actual cable length (data rate and cable length trade off). For CAN FD: verify the arbitration phase rate and data phase rate are both supported. For I2C buffers: verify Fast-mode Plus (Fm+, 1 Mbit/s) or High-speed (Hs, 3.4 Mbit/s) if used. Note: a device rated for a higher data rate is a valid substitution from a speed perspective, but verify slew rate (EMI) and propagation delay (timing margin) are within bounds.</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Data rate governs which silicon is selected. RS-485 transceivers are split into three classes: standard (≤250 kbps, slew-rate limited — e.g., MAX485, SN65HVD08), high-speed (≤10 Mbit/s — e.g., SP485, MAX3088), and very high speed (≤50–100 Mbit/s — e.g., THVD1500, ADM4857). The slew-rate-limited standard parts specifically restrict transition time to reduce EMI — they cannot be substituted with unbounded high-speed drivers in EMI-sensitive applications even if the data rate is within range. CAN transceivers are rated for 1 Mbit/s (classical) or up to 8 Mbit/s data phase (CAN FD). I2C buffers must support Fm+ (1 Mbit/s) if the I2C bus uses it — standard-mode-only buffers will fail silently at high speed. Propagation delay (tpd) scales with data rate: for a 10 Mbit/s link, a 40 ns one-way propagation delay consumes a significant fraction of a bit period.</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Operating Mode / Driver Topology
(Half-duplex / Full-duplex / Isolated / Non-isolated)</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Identity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Operating mode is a hard Identity gate. For RS-485: half-duplex (single differential pair, shared TX/RX with direction control) cannot substitute for full-duplex (RS-422, separate TX and RX pairs, no DE pin required). Full-duplex devices have more pins and different connection topology. For CAN/LIN: all standard transceivers are single-ended to differential — operating mode is fixed by the standard. For I2C and USB: isolated vs. non-isolated is a hard gate — galvanically isolated devices (ISO1540, ADuM1250) include internal transformers or capacitors and have completely different supply requirements (separate Vcc1 and Vcc2).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Half-duplex RS-485 uses one differential pair (A and B) for both transmit and receive, requiring a Driver Enable (DE) pin and typically a Receiver Enable (RE, active low) pin to control the direction. The MCU controls DE/RE to switch between transmit and receive modes — fundamental to the Modbus, DMX-512, and PROFIBUS physical layers. Full-duplex RS-422 uses four wires: a TX differential pair driven by the driver and an RX differential pair driven by the far end. There is no DE pin — the driver is always enabled. Substituting a half-duplex transceiver into a full-duplex footprint leaves the RX pair undriven. Isolated transceivers (e.g., ISO3082, IL3685) contain an integrated digital isolator, with two supply domains (host side and bus side) that must both be powered. The host-side supply is typically 3.3V from the MCU; the bus-side supply may be derived from bus power (phantom power) or a separate isolated supply. Non-isolated transceivers cannot be substituted without adding an external isolator.</w:t>
            </w:r>
          </w:p>
        </w:tc>
      </w:tr>
      <w:tr>
        <w:tc>
          <w:tcPr>
            <w:tcW w:type="dxa" w:w="20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0"/>
                <w:szCs w:val="20"/>
              </w:rPr>
              <w:t xml:space="preserve">Galvanic Isolation Type &amp; Working Voltage
(Non-isolated / Capacitive / Transformer — isolation voltage)</w:t>
            </w:r>
          </w:p>
        </w:tc>
        <w:tc>
          <w:tcPr>
            <w:tcW w:type="dxa" w:w="9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C00000"/>
                <w:sz w:val="20"/>
                <w:szCs w:val="20"/>
              </w:rPr>
              <w:t xml:space="preserve">Identity (Flag)</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If the original is an isolated transceiver, the replacement must also be isolated and must meet or exceed the original's working isolation voltage (VIORM) and reinforced/basic insulation classification. Non-isolated devices cannot substitute regardless of electrical performance. The isolation voltage must cover the expected common-mode between the two sides under all fault conditions including ground faults. Isolation reinforcement class (basic, reinforced, functional) must match or exceed the safety standard requirements.</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Isolated interface ICs integrate a digital isolator with the transceiver in a single package (e.g., ISO1042 for CAN, IL3086 for RS-485, ADuM1201 for logic). The isolation barrier blocks DC and low-frequency common-mode voltages — essential where the host and bus grounds may differ by hundreds of volts (motor drives, industrial networks, medical equipment). The working isolation voltage (VIORM) is the maximum continuous differential voltage across the barrier. Reinforced insulation typically requires VIORM ≥ 840 Vpeak for 300 V working voltage per IEC 62368-1. Capacitive isolation (uses CMOS process capacitors) offers higher data rates (up to 150 Mbit/s). Transformer-based isolation (uses on-chip coils) is inherently immune to high dV/dt transients. For systems requiring medical-grade (5 kVrms / 8 kVpeak per ANSI/AAMI ES60601) or industrial reinforced isolation, the specific isolation class and test voltage must be matched to maintain certification.</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CAN Standard Variant / USB Speed Grade
(Classical CAN / CAN FD / USB FS / USB HS / USB SS)</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Identity (Flag)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For CAN: CAN FD transceivers are backwards compatible with classical CAN at the arbitration phase, but the data phase in CAN FD requires tighter timing, lower propagation delay, and higher common-mode rejection than classical CAN transceivers provide. A classical CAN transceiver cannot support CAN FD data phase rates — substituting one into a CAN FD system causes errors at high data rates. For USB: speed grade is a hard Identity gate — a FS transceiver (12 Mbit/s) cannot be substituted for an HS transceiver (480 Mbit/s) because the differential impedance, eye diagram, and signal integrity requirements are completely different.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CAN FD (ISO 11898-1:2015) allows the data phase to run at up to 8 Mbit/s while the arbitration phase remains at ≤1 Mbit/s. CAN FD transceivers are designed for the reduced propagation delay (typically ≤120 ns loop delay, vs. ≤255 ns for classical CAN) and higher signal integrity required at data-phase bit rates of 2–8 Mbit/s. The CAN FD transceiver must also support the faster transition times without generating excessive ringing on the bus. Classical CAN transceivers (SN65HVD230, MCP2551, TJA1050) are not specified for CAN FD and will cause intermittent or systematic errors when connected to a CAN FD controller operating at high data rates. Within CAN FD, also verify whether the transceiver supports selective wake (SBC function) or partial networking (TJA1145/TJA1462 class) if used in the original design. For USB, the physical layer requirements differ fundamentally: HS requires 90 Ω ±15% differential impedance, 0.4 V eye height minimum, 500 ps rise/fall times — parameters that FS transceivers do not meet.</w:t>
            </w:r>
          </w:p>
        </w:tc>
      </w:tr>
      <w:tr>
        <w:tc>
          <w:tcPr>
            <w:gridSpan w:val="4"/>
            <w:tcBorders>
              <w:top w:val="single" w:color="8DB4E2" w:sz="1"/>
              <w:left w:val="single" w:color="8DB4E2" w:sz="1"/>
              <w:bottom w:val="single" w:color="8DB4E2" w:sz="1"/>
              <w:right w:val="single" w:color="8DB4E2" w:sz="1"/>
            </w:tcBorders>
            <w:shd w:fill="D6E4F0" w:val="clear"/>
            <w:tcMar>
              <w:top w:type="dxa" w:w="60"/>
              <w:left w:type="dxa" w:w="120"/>
              <w:bottom w:type="dxa" w:w="60"/>
              <w:right w:type="dxa" w:w="120"/>
            </w:tcMar>
          </w:tcPr>
          <w:p>
            <w:r>
              <w:rPr>
                <w:rFonts w:ascii="Arial" w:cs="Arial" w:eastAsia="Arial" w:hAnsi="Arial"/>
                <w:b/>
                <w:bCs/>
                <w:color w:val="1F3864"/>
                <w:sz w:val="22"/>
                <w:szCs w:val="22"/>
              </w:rPr>
              <w:t xml:space="preserve">BUS ELECTRICAL INTERFACE</w:t>
            </w:r>
          </w:p>
        </w:tc>
      </w:tr>
      <w:tr>
        <w:tc>
          <w:tcPr>
            <w:tcW w:type="dxa" w:w="20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0"/>
                <w:szCs w:val="20"/>
              </w:rPr>
              <w:t xml:space="preserve">Bus Fault Protection Voltage
(Maximum sustained voltage on A/B bus pins without damage — VFP or Bus Pin Absolute Maximum)</w:t>
            </w:r>
          </w:p>
        </w:tc>
        <w:tc>
          <w:tcPr>
            <w:tcW w:type="dxa" w:w="9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375623"/>
                <w:sz w:val="20"/>
                <w:szCs w:val="20"/>
              </w:rPr>
              <w:t xml:space="preserve">Threshold ≥</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Replacement bus fault protection voltage must equal or exceed the original. For RS-485: verify the fault protection covers the expected fault voltage — ±15 V minimum for standard industrial use, ±60 V for harsh environments (IEC 61000-4-5 compatibility). For CAN: verify ±70 V or ±80 V for automotive (ISO 7637 transient tolerance). For I2C bus buffers: verify ±15 V or higher for bus-powered industrial I2C. A device with lower fault protection installed in a higher-fault-voltage environment will be destroyed when the bus shorts to power or a wiring error occurs.</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Bus fault protection describes the maximum voltage on the CANH/CANL, A/B, or SDA/SCL pins before the device is permanently damaged. In industrial field wiring (RS-485 over twisted pair running through conduit alongside AC power), shorts to 24 V DC or induced voltages of ±15 V or higher are routine. Automotive CAN bus pins see battery voltage (14.4 V), jump-start conditions (up to 24 V), and load-dump transients (ISO 7637 pulse 5a/5b: ±87 V peak). Standard-grade RS-485 transceivers (±15 V fault) will survive typical industrial wiring faults; enhanced IEC surge protection versions (±60 V) are required for severe environments. CAN transceivers in automotive designs must survive ±70 V per AEC-Q100 stress test Grade 1. Beyond the bus fault protection, most transceivers include internal foldback current limiting that prevents bus current from exceeding ~250 mA even under fault conditions — verify the replacement's current limiting behavior is compatible with the system's fault response design.</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ESD Rating — Bus Pins
(IEC 61000-4-2 contact discharge rating on A/B or CANH/CANL pins)</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0"/>
                <w:szCs w:val="20"/>
              </w:rPr>
              <w:t xml:space="preserve">Threshold ≥</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Replacement ESD rating on bus pins must equal or exceed the original. Minimum ±8 kV IEC 61000-4-2 contact discharge for industrial RS-485 and CAN. For RS-485 bus connectors exposed to operator touch: ±15 kV or ±30 kV grades preferred. For USB: verify the transceiver meets the applicable USB-IF ESD requirements (±2 kV human body model minimum; more for consumer products at ±8 kV). For I2C buffers on exposed connectors: ±8 kV minimum.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Bus pins connect directly to field wiring or external connectors and are the most ESD-vulnerable nodes in industrial designs. IEC 61000-4-2 defines the contact and air discharge test levels used in system-level ESD qualification: Level 1 (±2 kV), Level 2 (±4 kV), Level 3 (±6 kV), Level 4 (±8 kV). Consumer electronics typically requires Level 2–3; industrial and automotive Level 4 (±8 kV) minimum. Enhanced ESD protection transceivers (THVD1450, ADM2582E) are rated ±15 kV to ±30 kV — these are selected when the application includes unpowered connector insertion, unshielded cable runs, or outdoor field equipment. Many transceiver families offer identical electrical performance in standard and enhanced-ESD variants — the enhanced variant is a drop-in pin-compatible upgrade and should be preferred if cost difference is negligible. Reducing ESD protection in a design that relied on it causes susceptibility to field failures that are difficult to diagnose.</w:t>
            </w:r>
          </w:p>
        </w:tc>
      </w:tr>
      <w:tr>
        <w:tc>
          <w:tcPr>
            <w:tcW w:type="dxa" w:w="20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0"/>
                <w:szCs w:val="20"/>
              </w:rPr>
              <w:t xml:space="preserve">Differential Output Voltage (VOD)
(Minimum differential voltage across A−B or CANH−CANL under specified load)</w:t>
            </w:r>
          </w:p>
        </w:tc>
        <w:tc>
          <w:tcPr>
            <w:tcW w:type="dxa" w:w="9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375623"/>
                <w:sz w:val="20"/>
                <w:szCs w:val="20"/>
              </w:rPr>
              <w:t xml:space="preserve">Threshold ≥</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Replacement VOD under the specified load resistance must equal or exceed the original's minimum specification. For RS-485 and RS-422: minimum 1.5 V into 54 Ω (RS-485 standard); many modern transceivers provide ≥2 V for noise margin headroom. For CAN: dominant state differential ≥1.5 V (ISO 11898-2: CANH−CANL ≥ 1.5 V into 60 Ω bus differential impedance). A lower VOD reduces noise margin, especially in long-cable high-attenuation applications.</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The RS-485 standard requires a minimum 1.5 V differential voltage across a 54 Ω load (two 120 Ω terminations in parallel). Modern transceivers typically achieve ≥2.0 V, providing noise margin above the 200 mV minimum receiver threshold. The available noise margin = VOD / 2 − 200 mV (receiver threshold). For CAN, the dominant state requires CANH ≥ 2.75 V and CANL ≤ 2.25 V with a 60 Ω differential load, giving a dominant VOD of ≥ 1.5 V. In long cable runs with significant termination reflection losses, higher VOD provides the extra margin needed to maintain reliable reception. Low-power transceivers sometimes sacrifice VOD for reduced supply current — these must only be substituted when the cable length and noise environment are known to be benign. For isolated transceivers: verify VOD of the bus-side driver, which is powered by the isolated supply and may differ from the non-isolated specification.</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Input Receiver Threshold &amp; Hysteresis
(Differential threshold Vth, common-mode range, and receiver hysteresis)</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0"/>
                <w:szCs w:val="20"/>
              </w:rPr>
              <w:t xml:space="preserve">Threshold ⊇</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Replacement receiver threshold and common-mode range must contain the original's specification as a subset. For RS-485: differential threshold ≤ ±200 mV (receiver must trigger on ≥200 mV differential with any common-mode in the −7 V to +12 V range). For CAN: recessive threshold ≥ 500 mV; dominant threshold ≤ 900 mV differential (ISO 11898-2 Table 3). Tighter hysteresis than the original is acceptable. For I2C buffers: verify the VIH/VIL levels are compatible with the I2C protocol's CMOS or TTL-level thresholds.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RS-485 receiver sensitivity is defined as the minimum differential voltage required to reliably trigger the output: the EIA-485 standard specifies ±200 mV minimum differential sensitivity over a −7 V to +12 V common-mode range. Most transceivers are specified at ±200 mV or tighter (±100 mV high-sensitivity types). The common-mode range is critical in multi-drop systems where ground potential differences between nodes create common-mode offset on the bus: the standard ±7 V to +12 V range covers the ground shift allowed by the RS-485 standard. Extended common-mode range devices (−25 V to +25 V) are used in systems with long cable runs or multiple grounded panels. Receiver hysteresis prevents oscillation in the presence of bus noise near the switching threshold — 20 mV to 100 mV of hysteresis is typical. Failsafe receiver variants add an internal bias to guarantee a defined output state when the bus is open, shorted, or terminated with no active driver (see Failsafe Receiver attribute).</w:t>
            </w:r>
          </w:p>
        </w:tc>
      </w:tr>
      <w:tr>
        <w:tc>
          <w:tcPr>
            <w:tcW w:type="dxa" w:w="20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0"/>
                <w:szCs w:val="20"/>
              </w:rPr>
              <w:t xml:space="preserve">Failsafe Receiver Behavior
(Open/short/terminated bus idle state — with or without failsafe biasing)</w:t>
            </w:r>
          </w:p>
        </w:tc>
        <w:tc>
          <w:tcPr>
            <w:tcW w:type="dxa" w:w="9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C00000"/>
                <w:sz w:val="20"/>
                <w:szCs w:val="20"/>
              </w:rPr>
              <w:t xml:space="preserve">Identity (Flag)</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If the original has a failsafe receiver (also called fail-safe or bus-idle output definition), the replacement must also provide failsafe behavior. Failsafe receivers guarantee a defined output state (typically logic HIGH = Mark state) when the bus is open-circuit, short-circuit A-to-B, or terminated with no active driver. Standard-threshold receivers without failsafe will oscillate or produce indeterminate output in these conditions, causing false framing of characters in UART-based RS-485 systems. CAN transceivers do not use this terminology — the bus-idle recessive state is defined by the standard.</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In RS-485 networks, the bus idle state (no driver enabled) is electrically floating or differentially zero — the receiver sees ~0 V differential, which is within the ±200 mV indeterminate zone of a standard receiver. Without failsafe biasing, receivers oscillate or produce garbage characters during idle periods. Failsafe receivers add an internal pull-up on A and pull-down on B (or equivalent internal bias) to bias the idle bus into the Mark (logic 1) state, ensuring the UART receives continuous stop-bit-level idle characters rather than garbage. The bias current is small (typically 10–100 µA per device), so many failsafe receivers on a long bus can affect termination impedance — verify the number of devices and their combined bias current does not significantly distort the differential voltage during active transmission. For Modbus RTU and DMX-512 systems where the idle state determines valid start-of-frame detection, failsafe is not optional — it is part of the system's reliability guarantee.</w:t>
            </w:r>
          </w:p>
        </w:tc>
      </w:tr>
      <w:tr>
        <w:tc>
          <w:tcPr>
            <w:gridSpan w:val="4"/>
            <w:tcBorders>
              <w:top w:val="single" w:color="8DB4E2" w:sz="1"/>
              <w:left w:val="single" w:color="8DB4E2" w:sz="1"/>
              <w:bottom w:val="single" w:color="8DB4E2" w:sz="1"/>
              <w:right w:val="single" w:color="8DB4E2" w:sz="1"/>
            </w:tcBorders>
            <w:shd w:fill="D6E4F0" w:val="clear"/>
            <w:tcMar>
              <w:top w:type="dxa" w:w="60"/>
              <w:left w:type="dxa" w:w="120"/>
              <w:bottom w:type="dxa" w:w="60"/>
              <w:right w:type="dxa" w:w="120"/>
            </w:tcMar>
          </w:tcPr>
          <w:p>
            <w:r>
              <w:rPr>
                <w:rFonts w:ascii="Arial" w:cs="Arial" w:eastAsia="Arial" w:hAnsi="Arial"/>
                <w:b/>
                <w:bCs/>
                <w:color w:val="1F3864"/>
                <w:sz w:val="22"/>
                <w:szCs w:val="22"/>
              </w:rPr>
              <w:t xml:space="preserve">TIMING &amp; SIGNALING</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Slew Rate Limiting
(Driver transition time tr/tf control — limited or unlimited)</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030A0"/>
                <w:sz w:val="20"/>
                <w:szCs w:val="20"/>
              </w:rPr>
              <w:t xml:space="preserve">Application Review</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For RS-485: if the original is a slew-rate-limited device (standard ≤250 kbps class), the replacement must also be slew-rate limited. An unlimited-slew replacement in a slew-limited application significantly increases radiated emissions and may cause system-level EMI test failures. For CAN: slew rate is controlled by the external split-termination or internal bus driver design — verify the replacement's driver matches the original's slew characteristics. For high-speed RS-485 (≥10 Mbit/s): unlimited slew is intentional and correct; substituting a slew-limited device defeats the purpose. Flag for Application Review if data rate is near the boundary of slew-limited vs. high-speed classes.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RS-485 slew rate limiting is a design choice that trades maximum data rate for EMI compliance. Slew-rate-limited transceivers (MAX485, SN65HVD08, SP485E) restrict rise/fall times to 500 ns to several µs, which keeps the spectral content of the differential signal below the AM broadcast band and reduces susceptibility to near-field coupling in dense panel wiring. The EIA-485 data rate and cable length guidelines implicitly assume slew-rate-limited drivers. High-speed RS-485 transceivers (ADM1485, THVD1500, MAX3088) have unconstrained rise times in the 1–10 ns range — they can reach 50+ Mbit/s but generate significant harmonic energy above 100 MHz. In the field, slew-rate-limited RS-485 networks often pass CE Mark radiated emissions with no filtering; high-speed RS-485 networks require shielded cable and/or common-mode chokes to pass the same test. Substituting a high-speed driver into a slew-limited design breaks the EMI compliance assumption without any electrical malfunction — the system works, but fails the CE/FCC test at the next audit.</w:t>
            </w:r>
          </w:p>
        </w:tc>
      </w:tr>
      <w:tr>
        <w:tc>
          <w:tcPr>
            <w:tcW w:type="dxa" w:w="20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0"/>
                <w:szCs w:val="20"/>
              </w:rPr>
              <w:t xml:space="preserve">Propagation Delay / Loop Delay
(One-way driver or receiver propagation delay tpd, or driver+receiver loop delay)</w:t>
            </w:r>
          </w:p>
        </w:tc>
        <w:tc>
          <w:tcPr>
            <w:tcW w:type="dxa" w:w="9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375623"/>
                <w:sz w:val="20"/>
                <w:szCs w:val="20"/>
              </w:rPr>
              <w:t xml:space="preserve">Threshold ≤</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Replacement propagation delay must equal or be less than the original. For RS-485 and CAN, propagation delay directly affects timing margins: in multi-drop RS-485 systems with tight baud rate tolerance, excessive transceiver delay can cause bit slippage at the far end of long cable runs. For CAN: ISO 11898-2 limits the total one-way loop delay (including cable) to ensure proper bit sampling across all nodes. CAN FD transceivers have tighter loop delay requirements (≤140 ns for 2 Mbit/s data phase) than classical CAN transceivers (≤255 ns). For I2C buffers: propagation delay adds to the rise/fall time budget — verify the I2C timing spec is met at the target clock speed.</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Propagation delay in interface transceivers has two components: driver output delay (from TXD to A/B pin transition) and receiver output delay (from A/B pin to RXD). The sum is the loop delay, which must be budgeted against the bit period. For classical CAN at 1 Mbit/s: bit period = 1 µs; ISO 11898-2 limits the total segment 2 propagation time (including all transceiver delays and cable) such that a bit is sampled correctly across the network. For CAN FD at 5 Mbit/s data phase: bit period = 200 ns — transceiver delay must be &lt;120 ns one-way to leave margin for cable delay. Exceeding the propagation delay budget causes the receiving node to sample the bus during a transition rather than at the stable level, producing random bit errors or systematic stuff errors. RS-485 at 115.2 kbps: bit period ≈ 8.7 µs — transceiver delay of a few hundred ns is negligible. RS-485 at 10 Mbit/s: bit period = 100 ns — a 60 ns transceiver delay consumes 60% of the bit period.</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TXD Dominant Timeout / Bus Watchdog
(Automatic transmitter disable after dominant state timeout — CAN only)</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Identity (Flag)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If the original CAN transceiver has a TXD dominant timeout feature and it is relied upon for bus recovery (it is in virtually all ISO 11898-2 compliant CAN transceivers), the replacement must also have this feature. Without a dominant timeout, a software fault that holds TXD low permanently will force the CAN bus dominant and jam all other nodes for as long as the fault persists. For RS-485 applications where a transceiver watchdog is used (some industrial RS-485 transceivers include a timeout that disables the driver if TXD is held low longer than a bit period): verify the timeout interval matches the original.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The TXD dominant timeout is a fundamental safety feature of CAN transceivers: if TXD is held low (dominant) longer than a defined timeout window (typically 650 µs to 3.5 ms depending on the device), the transmitter is automatically disabled to prevent permanent bus domination. ISO 11898-2 requires this feature for all conformant CAN transceivers. A fault condition that holds TXD low — MCU crash, GPIO misconfiguration, or firmware deadlock — would otherwise jam the entire CAN network by holding CANH high and CANL low, blocking all other nodes from transmitting. The timeout window is not a user-configurable parameter in standard CAN transceivers; it is a fixed design characteristic of the silicon. Different devices have different timeout windows: TJA1042 has ~3.6 ms; MCP2561FD has ~1.25 ms; SN65HVD230 has ~1.4 ms. If the system relies on a specific timeout window for deterministic fault recovery (e.g., a CAN gateway that re-enables the bus at a defined time), verify the replacement's timeout matches. More commonly, the exact value does not matter — only the presence of the feature.</w:t>
            </w:r>
          </w:p>
        </w:tc>
      </w:tr>
      <w:tr>
        <w:tc>
          <w:tcPr>
            <w:tcW w:type="dxa" w:w="20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0"/>
                <w:szCs w:val="20"/>
              </w:rPr>
              <w:t xml:space="preserve">Driver Enable / Direction Control Polarity
(DE polarity — active-high; RE polarity — active-low; combined DE+RE or separate pins)</w:t>
            </w:r>
          </w:p>
        </w:tc>
        <w:tc>
          <w:tcPr>
            <w:tcW w:type="dxa" w:w="9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C00000"/>
                <w:sz w:val="20"/>
                <w:szCs w:val="20"/>
              </w:rPr>
              <w:t xml:space="preserve">Identity</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Driver enable polarity is a hard Identity gate. For RS-485: DE (active-high) enables the driver; RE (active-low) enables the receiver. Many devices combine these as DE=RE on a single pin (auto-direction or half-duplex simplified). If the original has separate DE and RE pins driven independently (common in systems where a brief receive window during driver ramp is needed), a device with only a single DE/RE pin may require PCB modification or a firmware change. If the original has active-low DE (unusual but exists in some legacy devices), an active-high DE replacement will invert direction control — communication will fail.</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RS-485 direction control is the source of many substitution errors. Standard half-duplex transceivers have DE (pin 3, active-high) and /RE (pin 2, active-low). The most common connection ties both to the same GPIO (DE high = transmit, DE low = receive) — these devices are the easiest to substitute because they all use the same polarity convention. Some transceivers have an active-low driver enable (/DE) or active-high receiver enable (RE, non-inverted) — rare but present in certain legacy or automotive-grade parts. Substituting a standard active-high DE transceiver into a circuit designed for /DE-controlled devices inverts the direction logic: the MCU drives the GPIO high to receive (expecting driver disabled) but the new transceiver drives the bus (driver enabled) — the system transmits when it should listen and fails to transmit when commanded to do so. For full-duplex RS-422: there is no DE/RE pin (driver always enabled) — verify pin compatibility when moving from half-duplex to full-duplex footprint.</w:t>
            </w:r>
          </w:p>
        </w:tc>
      </w:tr>
      <w:tr>
        <w:tc>
          <w:tcPr>
            <w:gridSpan w:val="4"/>
            <w:tcBorders>
              <w:top w:val="single" w:color="8DB4E2" w:sz="1"/>
              <w:left w:val="single" w:color="8DB4E2" w:sz="1"/>
              <w:bottom w:val="single" w:color="8DB4E2" w:sz="1"/>
              <w:right w:val="single" w:color="8DB4E2" w:sz="1"/>
            </w:tcBorders>
            <w:shd w:fill="D6E4F0" w:val="clear"/>
            <w:tcMar>
              <w:top w:type="dxa" w:w="60"/>
              <w:left w:type="dxa" w:w="120"/>
              <w:bottom w:type="dxa" w:w="60"/>
              <w:right w:type="dxa" w:w="120"/>
            </w:tcMar>
          </w:tcPr>
          <w:p>
            <w:r>
              <w:rPr>
                <w:rFonts w:ascii="Arial" w:cs="Arial" w:eastAsia="Arial" w:hAnsi="Arial"/>
                <w:b/>
                <w:bCs/>
                <w:color w:val="1F3864"/>
                <w:sz w:val="22"/>
                <w:szCs w:val="22"/>
              </w:rPr>
              <w:t xml:space="preserve">BUS TOPOLOGY &amp; LOADING</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Unit Loads / Bus Loading
(Number of unit loads presented to the RS-485 bus — 1 UL, 1/2 UL, 1/4 UL, 1/8 UL)</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0"/>
                <w:szCs w:val="20"/>
              </w:rPr>
              <w:t xml:space="preserve">Threshold ≤</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Replacement unit load count must equal or be less than the original. The maximum RS-485 bus load is 32 unit loads (UL). If the original is a 1/4 UL device (allowing up to 128 nodes per segment) and the replacement is a 1 UL device, the bus may be overloaded if other nodes bring the total above 32 UL. This is most critical in dense bus applications (building automation, DMX-512 dimmer networks, industrial field buses with many drops).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The original EIA-485 standard defines one unit load as an input impedance of 12 kΩ. A standard 1 UL transceiver on a 32-node segment consumes 1/32 of the bus current budget. Fractional unit load devices (1/2 UL, 1/4 UL, 1/8 UL) allow 64, 128, or 256 devices on a single segment respectively, extending network size without repeaters. Most modern RS-485 transceivers are 1/4 UL or lower (input impedance ≥ 48 kΩ) — this has become the default in new designs. Substituting a 1 UL legacy transceiver (input impedance 12 kΩ) for a 1/4 UL device quadruples that node's load contribution. If the existing network is loaded to 120 nodes at 1/4 UL each (30 UL total), adding even one 1 UL device brings the total to 31.75 UL — marginally within spec. If the network is loaded to 128 nodes, adding any 1 UL device exceeds the 32 UL limit. For CAN: termination and stub length rather than unit loads govern bus topology — this attribute is RS-485-specific.</w:t>
            </w:r>
          </w:p>
        </w:tc>
      </w:tr>
      <w:tr>
        <w:tc>
          <w:tcPr>
            <w:tcW w:type="dxa" w:w="20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0"/>
                <w:szCs w:val="20"/>
              </w:rPr>
              <w:t xml:space="preserve">Common-Mode Operating Range
(Permitted common-mode voltage range on bus pins during normal operation)</w:t>
            </w:r>
          </w:p>
        </w:tc>
        <w:tc>
          <w:tcPr>
            <w:tcW w:type="dxa" w:w="9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375623"/>
                <w:sz w:val="20"/>
                <w:szCs w:val="20"/>
              </w:rPr>
              <w:t xml:space="preserve">Threshold ⊇</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Replacement common-mode range must contain the actual bus common-mode voltage range in the application. For RS-485: standard common-mode range is −7 V to +12 V (EIA-485 requirement). Extended range devices (−25 V to +25 V or wider) are used where multiple grounded equipment panels introduce significant common-mode offset. For CAN: ISO 11898-2 specifies −2 V to +7 V common-mode range on CANH/CANL. Verify the replacement covers this range with margin. For isolated transceivers, common-mode range applies to the bus side only — the isolation handles the ground differential.</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Common-mode voltage on an RS-485 bus is the voltage that both the A and B lines share with respect to the transceiver's reference ground. In an ideal system with all nodes sharing the same ground, common-mode is zero. In practice, nodes in different panels or on different circuits have ground potential differences of 1 V to 10 V or more due to leakage currents, resistive voltage drops, and inductive noise. The EIA-485 standard guarantees that a transceiver specified for −7 V to +12 V common-mode will correctly resolve ±200 mV differential signals across the entire common-mode range. Devices with extended common-mode range (ADM1485, MAX3490E: −25 V to +25 V or wider) are required in systems with long cable runs between separately grounded equipment enclosures, or where safety earth connections introduce common-mode from power line leakage. For CAN: the narrower common-mode range (−2 V to +7 V) is adequate because CAN networks are typically confined to a single vehicle or machine where ground potential differences are small and the twisted-pair cable keeps common-mode rejection high.</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Split-Termination / Internal Termination
(Presence of internal or switchable split termination, or compatibility with external split termination)</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030A0"/>
                <w:sz w:val="20"/>
                <w:szCs w:val="20"/>
              </w:rPr>
              <w:t xml:space="preserve">Application Review</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If the original transceiver includes internal switchable termination or split-termination capability (Y pin for CAN split termination, or bus-pin termination for RS-485 repeaters), the replacement must also include this feature if it is used. Verify that the external termination strategy (120 Ω end-termination, split termination, or RC termination) is compatible with the replacement's bus-pin characteristics — particularly the Y-pin center tap for CAN split termination. Flag for Application Review if the PCB has a populated Y-pin connection or switchable termination resistors.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CAN bus termination is nominally a 120 Ω resistor between CANH and CANL at each end of the bus. Split termination replaces each 120 Ω terminator with two 60 Ω resistors with their junction (Y terminal) bypassed to ground via a 4.7 nF capacitor — this reduces high-frequency common-mode noise injected by the termination. Some CAN transceivers include a dedicated Y pin for the split-termination midpoint (TJA1042T/3, MCP2558FD). If the PCB connects a 4.7 nF to the Y pin and the replacement transceiver lacks a Y pin, the filtering capacitor is either open or shorted depending on whether the replacement uses that pin for a different function. RS-485 similarly benefits from split termination on long runs — the split reduces end reflection while providing a defined common-mode at the center rail, reducing common-mode noise. Integrated switchable termination (SN65HVD3082E, ADM4855) allows the MCU to enable or disable termination on endpoint nodes via a GPIO, simplifying field-configurable network topology.</w:t>
            </w:r>
          </w:p>
        </w:tc>
      </w:tr>
      <w:tr>
        <w:tc>
          <w:tcPr>
            <w:gridSpan w:val="4"/>
            <w:tcBorders>
              <w:top w:val="single" w:color="8DB4E2" w:sz="1"/>
              <w:left w:val="single" w:color="8DB4E2" w:sz="1"/>
              <w:bottom w:val="single" w:color="8DB4E2" w:sz="1"/>
              <w:right w:val="single" w:color="8DB4E2" w:sz="1"/>
            </w:tcBorders>
            <w:shd w:fill="D6E4F0" w:val="clear"/>
            <w:tcMar>
              <w:top w:type="dxa" w:w="60"/>
              <w:left w:type="dxa" w:w="120"/>
              <w:bottom w:type="dxa" w:w="60"/>
              <w:right w:type="dxa" w:w="120"/>
            </w:tcMar>
          </w:tcPr>
          <w:p>
            <w:r>
              <w:rPr>
                <w:rFonts w:ascii="Arial" w:cs="Arial" w:eastAsia="Arial" w:hAnsi="Arial"/>
                <w:b/>
                <w:bCs/>
                <w:color w:val="1F3864"/>
                <w:sz w:val="22"/>
                <w:szCs w:val="22"/>
              </w:rPr>
              <w:t xml:space="preserve">SUPPLY &amp; POWER</w:t>
            </w:r>
          </w:p>
        </w:tc>
      </w:tr>
      <w:tr>
        <w:tc>
          <w:tcPr>
            <w:tcW w:type="dxa" w:w="20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0"/>
                <w:szCs w:val="20"/>
              </w:rPr>
              <w:t xml:space="preserve">Supply Voltage Range
(VCC or VDD range — typically 3.3 V or 5 V, wide-supply, or dual-supply for isolated types)</w:t>
            </w:r>
          </w:p>
        </w:tc>
        <w:tc>
          <w:tcPr>
            <w:tcW w:type="dxa" w:w="9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375623"/>
                <w:sz w:val="20"/>
                <w:szCs w:val="20"/>
              </w:rPr>
              <w:t xml:space="preserve">Threshold ⊇</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Replacement supply voltage range must contain the actual supply voltage. For RS-485 and CAN: 3.3 V single-supply devices cannot directly replace 5 V devices or vice versa without verifying bus logic levels are compatible with the MCU's GPIO voltage. Wide-supply devices (2.25 V to 5.5 V) can replace both. For I2C buffers: some devices support mixed-voltage operation (VCCI ≠ VCCB), enabling 3.3 V host-side to 5 V bus-side level shifting — verify this capability is preserved. For isolated transceivers: verify both isolation supply domains are within range.</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The 3.3 V to 5 V supply transition in RS-485 and CAN transceivers is one of the most common substitution pitfalls. A 5 V transceiver requires a 5 V supply and its logic inputs are typically compatible with 3.3 V MCU GPIOs (VIH_min ≈ 2.0 V or lower). A 3.3 V transceiver requires a 3.3 V supply and its logic inputs have VIH_min ≈ 2.0–2.4 V, compatible with 3.3 V MCU (VOH_min ≈ 2.4 V). However, the bus-pin output behavior changes: a 5 V transceiver driving RS-485 from a 5 V supply produces higher VOD (~3.0 V) than a 3.3 V transceiver from a 3.3 V supply (~2.0 V). Both meet the RS-485 ≥1.5 V minimum, but the bus cable is now driven by a different source impedance and VOD level. Wide-supply transceivers (e.g., SN65HVD3082E: 3.0 V to 5.5 V; ADM4857: 2.7 V to 5.5 V) simplify substitution by covering both supply domains in one part number. For I2C buffers with mixed-supply operation: the split-supply capability enables active level shifting between 5 V legacy bus and 3.3 V MCU — a single-supply replacement loses this function.</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Shutdown / Low-Power Standby Current
(Supply current in low-power mode, sleep mode, or bus-idle mode)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0"/>
                <w:szCs w:val="20"/>
              </w:rPr>
              <w:t xml:space="preserve">Threshold ≤</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Replacement shutdown or bus-idle current must equal or be less than the original. For CAN transceivers in automotive applications with frequent sleep/wake cycles: the CAN transceiver standby current is a significant contributor to the ECU's quiescent current budget (automotive OEM typically limits ECU to ≤100 µA quiescent). For RS-485 industrial devices that use a sleep-mode enable pin to reduce power during inactive bus windows: verify the replacement's sleep current meets the system power budget.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CAN transceivers in automotive ECUs spend most of their lifetime in a low-power listen-only or sleep state, waking only when bus activity is detected. The transceiver's standby or sleep mode current typically ranges from 5 µA (TJA1042T: ~5 µA standby) to several tens of µA for older devices. For a vehicle with 100 ECUs, even a 10 µA per ECU increase in quiescent current adds 1 mA to the total vehicle quiescent draw — over a 720-hour parking period, this adds ~720 mAh to battery drain, measurable for 48 V mild-hybrid systems with tight parasitic drain budgets. RS-485 transceivers with shutdown enable (SHDN pin, active-low) reduce supply current from ~1–5 mA (active) to ~1–10 µA (shutdown) — useful in battery-powered sensor nodes that use RS-485 for burst communication but sleep between transmissions. Verify that the shutdown state disables the driver and places bus pins in high impedance — some devices maintain receiver biasing in shutdown, which is desirable for wake-on-activity applications.</w:t>
            </w:r>
          </w:p>
        </w:tc>
      </w:tr>
      <w:tr>
        <w:tc>
          <w:tcPr>
            <w:tcW w:type="dxa" w:w="20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0"/>
                <w:szCs w:val="20"/>
              </w:rPr>
              <w:t xml:space="preserve">Operating Temperature Range
(Full-accuracy specified temperature range, Tmin to Tmax)</w:t>
            </w:r>
          </w:p>
        </w:tc>
        <w:tc>
          <w:tcPr>
            <w:tcW w:type="dxa" w:w="9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375623"/>
                <w:sz w:val="20"/>
                <w:szCs w:val="20"/>
              </w:rPr>
              <w:t xml:space="preserve">Threshold ⊇</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Replacement operating temperature range must contain the application temperature range. For automotive CAN and RS-485: −40 °C to +125 °C minimum (AEC-Q100 Grade 1). For industrial: −40 °C to +85 °C or +105 °C. Verify both the specified accuracy and the maximum junction temperature cover the actual ambient at worst-case power dissipation (primarily bus fault conditions where the transceiver dissipates significant power).</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Interface ICs are often specified in three temperature grades: commercial (0 °C to +70 °C), industrial (−40 °C to +85 °C), and automotive (−40 °C to +125 °C). Industrial field equipment almost always requires −40 °C to +85 °C minimum; outdoor equipment may require −40 °C to +105 °C. The difference between industrial and automotive grades often goes beyond temperature range — automotive-grade parts undergo AEC-Q100 qualification including accelerated life testing, electromigration testing, and lot traceability requirements that industrial-grade parts do not. Substituting an industrial-grade transceiver into an automotive design (even if the temperature range is adequate) violates the AEC-Q100 qualification boundary. During a bus fault condition (CANH or CANL shorted to battery or ground), the transceiver's current-limiting circuits dissipate up to 500 mW to 1 W depending on the fault voltage — verify the replacement's thermal resistance and package power rating are sufficient to keep junction temperature below Tjmax during the fault condition at maximum ambient.</w:t>
            </w:r>
          </w:p>
        </w:tc>
      </w:tr>
      <w:tr>
        <w:tc>
          <w:tcPr>
            <w:gridSpan w:val="4"/>
            <w:tcBorders>
              <w:top w:val="single" w:color="8DB4E2" w:sz="1"/>
              <w:left w:val="single" w:color="8DB4E2" w:sz="1"/>
              <w:bottom w:val="single" w:color="8DB4E2" w:sz="1"/>
              <w:right w:val="single" w:color="8DB4E2" w:sz="1"/>
            </w:tcBorders>
            <w:shd w:fill="D6E4F0" w:val="clear"/>
            <w:tcMar>
              <w:top w:type="dxa" w:w="60"/>
              <w:left w:type="dxa" w:w="120"/>
              <w:bottom w:type="dxa" w:w="60"/>
              <w:right w:type="dxa" w:w="120"/>
            </w:tcMar>
          </w:tcPr>
          <w:p>
            <w:r>
              <w:rPr>
                <w:rFonts w:ascii="Arial" w:cs="Arial" w:eastAsia="Arial" w:hAnsi="Arial"/>
                <w:b/>
                <w:bCs/>
                <w:color w:val="1F3864"/>
                <w:sz w:val="22"/>
                <w:szCs w:val="22"/>
              </w:rPr>
              <w:t xml:space="preserve">QUALIFICATION &amp; PACKAGE</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AEC-Q100 / Automotive Qualification
(Grade 0 / Grade 1 / Grade 2 / non-automotive)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Identity (Flag)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AEC-Q100 grade must match or exceed the original for automotive applications. Non-automotive-qualified parts are BLOCKED from automotive designs regardless of electrical performance — the qualification boundary is a hard gate for OEM supply chain acceptance. For industrial non-automotive designs: AEC-Q100 is Operational (informational, preferred but not required).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The Automotive Electronics Council AEC-Q100 stress test qualification defines what it means for an integrated circuit to be qualified for automotive use. Grade 0 covers −55 °C to +150 °C junction temperature; Grade 1 covers −40 °C to +125 °C; Grade 2 covers −40 °C to +105 °C. Qualification tests include high-temperature operating life (HTOL), temperature cycling, autoclave (pressure cooker), electrostatic discharge (ESD), latch-up immunity, electrical overstress (EOS), and solder joint reliability. Non-automotive parts are not subjected to these tests and have no demonstrated robustness against the automotive thermal and mechanical stress profile. CAN transceivers in automotive designs (ECU, BCM, gateway) are always AEC-Q100 Grade 1 or better — this is a non-negotiable supply chain requirement from Tier 1 and OEM customers. RS-485 transceivers for industrial Modbus or PROFIBUS PLCs do not typically require AEC-Q100 — industrial-grade qualification (IEC 61000-4 series, operating temp, MTBF) is the relevant standard.</w:t>
            </w:r>
          </w:p>
        </w:tc>
      </w:tr>
      <w:tr>
        <w:tc>
          <w:tcPr>
            <w:tcW w:type="dxa" w:w="20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0"/>
                <w:szCs w:val="20"/>
              </w:rPr>
              <w:t xml:space="preserve">Package / Footprint
(SOIC-8 / SOT-23-5 / SOIC-16 / SSOP / MSOP / DFN / QFN / Isolation package)</w:t>
            </w:r>
          </w:p>
        </w:tc>
        <w:tc>
          <w:tcPr>
            <w:tcW w:type="dxa" w:w="9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7030A0"/>
                <w:sz w:val="20"/>
                <w:szCs w:val="20"/>
              </w:rPr>
              <w:t xml:space="preserve">Application Review</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Package must be pin-compatible with the PCB footprint. For RS-485 and CAN: the 8-pin SOIC (SOIC-8) is the dominant package for standard transceivers — most vendors use an identical pinout (Vcc=8, GND=5, DE=3, RE=2, RO=1, DI=4, A=6, B=7) enabling direct substitution without layout changes. Verify any deviation from this pinout. For CAN: TJA1050/MCP2551 pinout is an industry standard (8-SOIC: TXD=1, GND=2, VDD=3, RXD=4, Vref=5, CANH=7, CANL=6, RS=8) — verify pin 8 function (RS= slope control, some replacements use pin 8 for STB/WAKE). For isolated transceivers: package is typically wider (SOIC-16W or SMD-16) with creepage/clearance spacing between the isolation barrier — non-isolated SOIC-8 footprints are incompatible.</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sz w:val="20"/>
                <w:szCs w:val="20"/>
              </w:rPr>
              <w:t xml:space="preserve">The RS-485 SOIC-8 pinout has been de facto standardized since the Maxim MAX485 and Texas Instruments SN75LBC184 era — most modern RS-485 transceivers from multiple vendors are pin-for-pin compatible on this footprint, simplifying cross-sourcing. Exceptions: some 3.3 V single-supply transceivers (ADM3485) invert the driver enable sense; some high-speed transceivers add an additional pin (SLEW or MODE control) that may conflict with the standard pinout. Isolated transceivers use significantly different packages (SOIC-16W, DIP-16W, SSOP-20) with clearance-optimized pin arrangements placing high-voltage isolation across the center of the package — the footprint is incompatible with the non-isolated SOIC-8 and requires a separate PCB layout. For SMT production: verify the replacement's MSL rating and bake requirements — some precision or high-voltage isolation packages are MSL-3, requiring bake before reflow if stored beyond the floor-life window.</w:t>
            </w:r>
          </w:p>
        </w:tc>
      </w:tr>
    </w:tbl>
    <w:p>
      <w:pPr>
        <w:spacing w:before="240" w:after="80"/>
      </w:pPr>
      <w:r>
        <w:t xml:space="preserve"/>
      </w:r>
    </w:p>
    <w:p>
      <w:pPr>
        <w:pStyle w:val="Heading1"/>
        <w:spacing w:before="240" w:after="120"/>
      </w:pPr>
      <w:r>
        <w:rPr>
          <w:rFonts w:ascii="Arial" w:cs="Arial" w:eastAsia="Arial" w:hAnsi="Arial"/>
          <w:b/>
          <w:bCs/>
          <w:color w:val="1F3864"/>
          <w:sz w:val="28"/>
          <w:szCs w:val="28"/>
        </w:rPr>
        <w:t xml:space="preserve">Engineering Notes — Interface IC Substitution Gotchas</w:t>
      </w:r>
    </w:p>
    <w:p>
      <w:pPr>
        <w:pStyle w:val="Heading2"/>
        <w:spacing w:before="200" w:after="100"/>
      </w:pPr>
      <w:r>
        <w:rPr>
          <w:rFonts w:ascii="Arial" w:cs="Arial" w:eastAsia="Arial" w:hAnsi="Arial"/>
          <w:b/>
          <w:bCs/>
          <w:color w:val="1F3864"/>
          <w:sz w:val="24"/>
          <w:szCs w:val="24"/>
        </w:rPr>
        <w:t xml:space="preserve">1. RS-485 vs. CAN: Why the Same Differential Transceiver Concept Does Not Transfer</w:t>
      </w:r>
    </w:p>
    <w:p>
      <w:pPr>
        <w:pStyle w:val="ListParagraph"/>
        <w:numPr>
          <w:ilvl w:val="0"/>
          <w:numId w:val="2"/>
        </w:numPr>
        <w:spacing w:before="60" w:after="60"/>
      </w:pPr>
      <w:r>
        <w:rPr>
          <w:rFonts w:ascii="Arial" w:cs="Arial" w:eastAsia="Arial" w:hAnsi="Arial"/>
          <w:sz w:val="20"/>
          <w:szCs w:val="20"/>
        </w:rPr>
        <w:t xml:space="preserve">Both RS-485 and CAN use differential signaling on a twisted pair. This leads to the mistaken belief that transceivers are interchangeable — they are not.</w:t>
      </w:r>
    </w:p>
    <w:p>
      <w:pPr>
        <w:pStyle w:val="ListParagraph"/>
        <w:numPr>
          <w:ilvl w:val="0"/>
          <w:numId w:val="2"/>
        </w:numPr>
        <w:spacing w:before="60" w:after="60"/>
      </w:pPr>
      <w:r>
        <w:rPr>
          <w:rFonts w:ascii="Arial" w:cs="Arial" w:eastAsia="Arial" w:hAnsi="Arial"/>
          <w:sz w:val="20"/>
          <w:szCs w:val="20"/>
        </w:rPr>
        <w:t xml:space="preserve">RS-485 is a physical layer standard only: it defines the electrical characteristics of the driver and receiver but says nothing about framing, addressing, or error detection. Any protocol (Modbus, PROFIBUS, DMX-512, custom UART) runs over the RS-485 physical layer. The MCU's UART engine handles framing.</w:t>
      </w:r>
    </w:p>
    <w:p>
      <w:pPr>
        <w:pStyle w:val="ListParagraph"/>
        <w:numPr>
          <w:ilvl w:val="0"/>
          <w:numId w:val="2"/>
        </w:numPr>
        <w:spacing w:before="60" w:after="60"/>
      </w:pPr>
      <w:r>
        <w:rPr>
          <w:rFonts w:ascii="Arial" w:cs="Arial" w:eastAsia="Arial" w:hAnsi="Arial"/>
          <w:sz w:val="20"/>
          <w:szCs w:val="20"/>
        </w:rPr>
        <w:t xml:space="preserve">CAN is a complete data-link layer: the transceiver implements dominant/recessive bus arbitration, the CAN controller in the MCU implements the complete MAC layer including bit stuffing, CRC, acknowledgment, and error handling. A CAN transceiver cannot be used for RS-485 communication and vice versa — the bit encoding, bus arbitration, and error frame mechanism are physically different.</w:t>
      </w:r>
    </w:p>
    <w:p>
      <w:pPr>
        <w:pStyle w:val="ListParagraph"/>
        <w:numPr>
          <w:ilvl w:val="0"/>
          <w:numId w:val="2"/>
        </w:numPr>
        <w:spacing w:before="60" w:after="60"/>
      </w:pPr>
      <w:r>
        <w:rPr>
          <w:rFonts w:ascii="Arial" w:cs="Arial" w:eastAsia="Arial" w:hAnsi="Arial"/>
          <w:sz w:val="20"/>
          <w:szCs w:val="20"/>
        </w:rPr>
        <w:t xml:space="preserve">Differential voltage levels differ: RS-485 driver produces ≥1.5 V differential with common-mode output near VCC/2; CAN dominant state requires CANH ≥ 2.75 V and CANL ≤ 2.25 V from a 5 V supply. Common-mode ranges differ (RS-485: −7 V to +12 V; CAN: −2 V to +7 V). These differences in drive levels and biasing make the transceivers electrically incompatible even at DC.</w:t>
      </w:r>
    </w:p>
    <w:p>
      <w:pPr>
        <w:spacing w:before="60" w:after="60"/>
      </w:pPr>
    </w:p>
    <w:p>
      <w:pPr>
        <w:pStyle w:val="Heading2"/>
        <w:spacing w:before="200" w:after="100"/>
      </w:pPr>
      <w:r>
        <w:rPr>
          <w:rFonts w:ascii="Arial" w:cs="Arial" w:eastAsia="Arial" w:hAnsi="Arial"/>
          <w:b/>
          <w:bCs/>
          <w:color w:val="1F3864"/>
          <w:sz w:val="24"/>
          <w:szCs w:val="24"/>
        </w:rPr>
        <w:t xml:space="preserve">2. The RS-485 Cable Length and Data Rate Trade-off</w:t>
      </w:r>
    </w:p>
    <w:p>
      <w:pPr>
        <w:pStyle w:val="ListParagraph"/>
        <w:numPr>
          <w:ilvl w:val="0"/>
          <w:numId w:val="2"/>
        </w:numPr>
        <w:spacing w:before="60" w:after="60"/>
      </w:pPr>
      <w:r>
        <w:rPr>
          <w:rFonts w:ascii="Arial" w:cs="Arial" w:eastAsia="Arial" w:hAnsi="Arial"/>
          <w:sz w:val="20"/>
          <w:szCs w:val="20"/>
        </w:rPr>
        <w:t xml:space="preserve">RS-485 performance is governed by the reflection time constant: baud rate × cable length ≤ 10^8 (rule of thumb for stable operation without echo cancellation). At 9600 baud: cable up to ~10 km. At 1 Mbit/s: cable up to ~100 m. At 10 Mbit/s: cable up to ~10 m.</w:t>
      </w:r>
    </w:p>
    <w:p>
      <w:pPr>
        <w:pStyle w:val="ListParagraph"/>
        <w:numPr>
          <w:ilvl w:val="0"/>
          <w:numId w:val="2"/>
        </w:numPr>
        <w:spacing w:before="60" w:after="60"/>
      </w:pPr>
      <w:r>
        <w:rPr>
          <w:rFonts w:ascii="Arial" w:cs="Arial" w:eastAsia="Arial" w:hAnsi="Arial"/>
          <w:sz w:val="20"/>
          <w:szCs w:val="20"/>
        </w:rPr>
        <w:t xml:space="preserve">Slew-rate-limited transceivers deliberately restrict transition time to reduce reflections on long cables. Substituting an unlimited-slew device on a long cable (&gt;100 m) at moderate speed (115.2 kbps) will cause reflection-induced double transitions that the receiver sees as extra bits — manifesting as intermittent framing errors that only appear at moderate-to-fast baud rates on long cables.</w:t>
      </w:r>
    </w:p>
    <w:p>
      <w:pPr>
        <w:pStyle w:val="ListParagraph"/>
        <w:numPr>
          <w:ilvl w:val="0"/>
          <w:numId w:val="2"/>
        </w:numPr>
        <w:spacing w:before="60" w:after="60"/>
      </w:pPr>
      <w:r>
        <w:rPr>
          <w:rFonts w:ascii="Arial" w:cs="Arial" w:eastAsia="Arial" w:hAnsi="Arial"/>
          <w:sz w:val="20"/>
          <w:szCs w:val="20"/>
        </w:rPr>
        <w:t xml:space="preserve">Cable impedance matters: twisted-pair characteristic impedance is typically 100–120 Ω. Termination resistors (120 Ω at each end) should match the cable impedance. If the original design uses a 100 Ω termination for a 100 Ω cable and the replacement specification assumes 120 Ω termination load for VOD specification, the measured VOD into the actual load will be slightly different from the datasheet value.</w:t>
      </w:r>
    </w:p>
    <w:p>
      <w:pPr>
        <w:pStyle w:val="ListParagraph"/>
        <w:numPr>
          <w:ilvl w:val="0"/>
          <w:numId w:val="2"/>
        </w:numPr>
        <w:spacing w:before="60" w:after="60"/>
      </w:pPr>
      <w:r>
        <w:rPr>
          <w:rFonts w:ascii="Arial" w:cs="Arial" w:eastAsia="Arial" w:hAnsi="Arial"/>
          <w:sz w:val="20"/>
          <w:szCs w:val="20"/>
        </w:rPr>
        <w:t xml:space="preserve">For half-duplex RS-485, the turnaround time between transmit and receive (DE assertion/deassertion timing relative to the last character boundary) must be managed by the MCU firmware. If the replacement transceiver has a longer driver disable time than the original, the last transmitted character's stop bits may be corrupted by the line turning around before the stop bit is fully transmitted. Verify driver disable propagation delay when operating near the bus speed limit.</w:t>
      </w:r>
    </w:p>
    <w:p>
      <w:pPr>
        <w:spacing w:before="60" w:after="60"/>
      </w:pPr>
    </w:p>
    <w:p>
      <w:pPr>
        <w:pStyle w:val="Heading2"/>
        <w:spacing w:before="200" w:after="100"/>
      </w:pPr>
      <w:r>
        <w:rPr>
          <w:rFonts w:ascii="Arial" w:cs="Arial" w:eastAsia="Arial" w:hAnsi="Arial"/>
          <w:b/>
          <w:bCs/>
          <w:color w:val="1F3864"/>
          <w:sz w:val="24"/>
          <w:szCs w:val="24"/>
        </w:rPr>
        <w:t xml:space="preserve">3. CAN Bus Dominant Timeout: The Silent Bus-Killer Failure Mode</w:t>
      </w:r>
    </w:p>
    <w:p>
      <w:pPr>
        <w:pStyle w:val="ListParagraph"/>
        <w:numPr>
          <w:ilvl w:val="0"/>
          <w:numId w:val="2"/>
        </w:numPr>
        <w:spacing w:before="60" w:after="60"/>
      </w:pPr>
      <w:r>
        <w:rPr>
          <w:rFonts w:ascii="Arial" w:cs="Arial" w:eastAsia="Arial" w:hAnsi="Arial"/>
          <w:sz w:val="20"/>
          <w:szCs w:val="20"/>
        </w:rPr>
        <w:t xml:space="preserve">The TXD dominant timeout protects the CAN bus from software lock-up: if a microcontroller crashes mid-transmission and holds TXD low, the CAN transceiver disables its driver after a timeout (typically 650 µs to 3.5 ms).</w:t>
      </w:r>
    </w:p>
    <w:p>
      <w:pPr>
        <w:pStyle w:val="ListParagraph"/>
        <w:numPr>
          <w:ilvl w:val="0"/>
          <w:numId w:val="2"/>
        </w:numPr>
        <w:spacing w:before="60" w:after="60"/>
      </w:pPr>
      <w:r>
        <w:rPr>
          <w:rFonts w:ascii="Arial" w:cs="Arial" w:eastAsia="Arial" w:hAnsi="Arial"/>
          <w:sz w:val="20"/>
          <w:szCs w:val="20"/>
        </w:rPr>
        <w:t xml:space="preserve">Substituting a transceiver without a TXD dominant timeout (some legacy or low-cost parts omit it) into a design where a software crash is a known fault mode removes this protection. The consequence: a single node crash jams the entire vehicle CAN bus — all ECUs stop receiving until the faulty ECU resets or power-cycles.</w:t>
      </w:r>
    </w:p>
    <w:p>
      <w:pPr>
        <w:pStyle w:val="ListParagraph"/>
        <w:numPr>
          <w:ilvl w:val="0"/>
          <w:numId w:val="2"/>
        </w:numPr>
        <w:spacing w:before="60" w:after="60"/>
      </w:pPr>
      <w:r>
        <w:rPr>
          <w:rFonts w:ascii="Arial" w:cs="Arial" w:eastAsia="Arial" w:hAnsi="Arial"/>
          <w:sz w:val="20"/>
          <w:szCs w:val="20"/>
        </w:rPr>
        <w:t xml:space="preserve">The timeout value varies by device. TJA1042: 3.6 ms; SN65HVD230: 1.4 ms; MCP2561FD: 1.25 ms. Most CAN controllers have a bit timing configuration that sets the maximum transmission time for a single CAN frame to &lt;1 ms at 500 kbit/s — all timeouts are safely above this, so any compliant device should work. Verify the application does not rely on the exact timeout value.</w:t>
      </w:r>
    </w:p>
    <w:p>
      <w:pPr>
        <w:pStyle w:val="ListParagraph"/>
        <w:numPr>
          <w:ilvl w:val="0"/>
          <w:numId w:val="2"/>
        </w:numPr>
        <w:spacing w:before="60" w:after="60"/>
      </w:pPr>
      <w:r>
        <w:rPr>
          <w:rFonts w:ascii="Arial" w:cs="Arial" w:eastAsia="Arial" w:hAnsi="Arial"/>
          <w:sz w:val="20"/>
          <w:szCs w:val="20"/>
        </w:rPr>
        <w:t xml:space="preserve">For CAN FD transceivers: the dominant timeout is specified to accommodate both arbitration phase (1 Mbit/s, slower transitions) and data phase (up to 8 Mbit/s, faster transitions). The timeout window at CAN FD speeds is scaled accordingly — verify the datasheet explicitly states CAN FD compliance, not just that the transceiver can operate at CAN FD voltage levels.</w:t>
      </w:r>
    </w:p>
    <w:p>
      <w:pPr>
        <w:spacing w:before="60" w:after="60"/>
      </w:pPr>
    </w:p>
    <w:p>
      <w:pPr>
        <w:pStyle w:val="Heading2"/>
        <w:spacing w:before="200" w:after="100"/>
      </w:pPr>
      <w:r>
        <w:rPr>
          <w:rFonts w:ascii="Arial" w:cs="Arial" w:eastAsia="Arial" w:hAnsi="Arial"/>
          <w:b/>
          <w:bCs/>
          <w:color w:val="1F3864"/>
          <w:sz w:val="24"/>
          <w:szCs w:val="24"/>
        </w:rPr>
        <w:t xml:space="preserve">4. I2C Buffers: Capacitance Isolation Is the Core Value Proposition</w:t>
      </w:r>
    </w:p>
    <w:p>
      <w:pPr>
        <w:pStyle w:val="ListParagraph"/>
        <w:numPr>
          <w:ilvl w:val="0"/>
          <w:numId w:val="2"/>
        </w:numPr>
        <w:spacing w:before="60" w:after="60"/>
      </w:pPr>
      <w:r>
        <w:rPr>
          <w:rFonts w:ascii="Arial" w:cs="Arial" w:eastAsia="Arial" w:hAnsi="Arial"/>
          <w:sz w:val="20"/>
          <w:szCs w:val="20"/>
        </w:rPr>
        <w:t xml:space="preserve">I2C bus buffers (PCA9600, P82B96, LTC4311) address the fundamental I2C scalability problem: the I2C bus is open-drain with a pull-up resistor, and the rise time is determined by the RC time constant of the pull-up resistance × total bus capacitance. At ≥400 kbps (Fast-mode), the total bus capacitance is limited to 400 pF. With ten 30 pF I2C devices and 40 pF of trace capacitance, the limit is reached quickly.</w:t>
      </w:r>
    </w:p>
    <w:p>
      <w:pPr>
        <w:pStyle w:val="ListParagraph"/>
        <w:numPr>
          <w:ilvl w:val="0"/>
          <w:numId w:val="2"/>
        </w:numPr>
        <w:spacing w:before="60" w:after="60"/>
      </w:pPr>
      <w:r>
        <w:rPr>
          <w:rFonts w:ascii="Arial" w:cs="Arial" w:eastAsia="Arial" w:hAnsi="Arial"/>
          <w:sz w:val="20"/>
          <w:szCs w:val="20"/>
        </w:rPr>
        <w:t xml:space="preserve">A buffer splits the bus into two capacitance domains (upstream near the MCU and downstream near the devices), allowing each segment to meet its capacitance budget independently. Substituting a non-buffered I2C GPIO expander for a buffered design removes this isolation — the combined bus capacitance may then exceed the fast-mode limit, causing signal integrity failures at 400 kbps that appear intermittent (depending on load).</w:t>
      </w:r>
    </w:p>
    <w:p>
      <w:pPr>
        <w:pStyle w:val="ListParagraph"/>
        <w:numPr>
          <w:ilvl w:val="0"/>
          <w:numId w:val="2"/>
        </w:numPr>
        <w:spacing w:before="60" w:after="60"/>
      </w:pPr>
      <w:r>
        <w:rPr>
          <w:rFonts w:ascii="Arial" w:cs="Arial" w:eastAsia="Arial" w:hAnsi="Arial"/>
          <w:sz w:val="20"/>
          <w:szCs w:val="20"/>
        </w:rPr>
        <w:t xml:space="preserve">For I2C isolators (ISO1540, ADuM1250): the bidirectional isolation is inherently tricky — the device must detect signal transitions on one side and regenerate them on the other without creating a latch-up condition where both sides simultaneously drive the bus low. Different isolators use different mechanisms (current injection, energy detection). Substituting one isolator for another with different propagation delay asymmetry can cause the bidirectional handshake to fail at high speed.</w:t>
      </w:r>
    </w:p>
    <w:p>
      <w:pPr>
        <w:pStyle w:val="ListParagraph"/>
        <w:numPr>
          <w:ilvl w:val="0"/>
          <w:numId w:val="2"/>
        </w:numPr>
        <w:spacing w:before="60" w:after="60"/>
      </w:pPr>
      <w:r>
        <w:rPr>
          <w:rFonts w:ascii="Arial" w:cs="Arial" w:eastAsia="Arial" w:hAnsi="Arial"/>
          <w:sz w:val="20"/>
          <w:szCs w:val="20"/>
        </w:rPr>
        <w:t xml:space="preserve">The I2C Fast-mode Plus (Fm+, 1 Mbit/s) standard requires the pull-up to be a current source rather than a resistor, and allows ≤550 pF total capacitance. Not all I2C buffers support Fm+ — some only support Standard-mode (100 kbps) and Fast-mode (400 kbps). If the system runs at 1 Mbit/s and the replacement buffer only supports 400 kbps, the failure will manifest as occasional NAK or clock stretching that is extremely difficult to diagnose.</w:t>
      </w:r>
    </w:p>
    <w:p>
      <w:pPr>
        <w:spacing w:before="60" w:after="60"/>
      </w:pPr>
    </w:p>
    <w:p>
      <w:pPr>
        <w:pStyle w:val="Heading2"/>
        <w:spacing w:before="200" w:after="100"/>
      </w:pPr>
      <w:r>
        <w:rPr>
          <w:rFonts w:ascii="Arial" w:cs="Arial" w:eastAsia="Arial" w:hAnsi="Arial"/>
          <w:b/>
          <w:bCs/>
          <w:color w:val="1F3864"/>
          <w:sz w:val="24"/>
          <w:szCs w:val="24"/>
        </w:rPr>
        <w:t xml:space="preserve">5. Isolated Transceivers: Two Supplies, Two Grounds, One Substitution Trap</w:t>
      </w:r>
    </w:p>
    <w:p>
      <w:pPr>
        <w:pStyle w:val="ListParagraph"/>
        <w:numPr>
          <w:ilvl w:val="0"/>
          <w:numId w:val="2"/>
        </w:numPr>
        <w:spacing w:before="60" w:after="60"/>
      </w:pPr>
      <w:r>
        <w:rPr>
          <w:rFonts w:ascii="Arial" w:cs="Arial" w:eastAsia="Arial" w:hAnsi="Arial"/>
          <w:sz w:val="20"/>
          <w:szCs w:val="20"/>
        </w:rPr>
        <w:t xml:space="preserve">Isolated RS-485 and CAN transceivers integrate a digital isolator and a transceiver in one package (ISO3082, IL3685, ADM2582E for RS-485; ISO1042, ADM3053, Si8444 for CAN). They have two power supply pins: one on the host side (VCC1, typically 3.3 V from the MCU supply) and one on the bus side (VCC2, typically 5 V from a dedicated isolated DC-DC converter).</w:t>
      </w:r>
    </w:p>
    <w:p>
      <w:pPr>
        <w:pStyle w:val="ListParagraph"/>
        <w:numPr>
          <w:ilvl w:val="0"/>
          <w:numId w:val="2"/>
        </w:numPr>
        <w:spacing w:before="60" w:after="60"/>
      </w:pPr>
      <w:r>
        <w:rPr>
          <w:rFonts w:ascii="Arial" w:cs="Arial" w:eastAsia="Arial" w:hAnsi="Arial"/>
          <w:sz w:val="20"/>
          <w:szCs w:val="20"/>
        </w:rPr>
        <w:t xml:space="preserve">If the PCB has a single-supply non-isolated transceiver and the design is later changed to use an isolated device, the bus-side isolated supply must be added — it does not already exist on the board. This is a new supply requirement, not just a component swap.</w:t>
      </w:r>
    </w:p>
    <w:p>
      <w:pPr>
        <w:pStyle w:val="ListParagraph"/>
        <w:numPr>
          <w:ilvl w:val="0"/>
          <w:numId w:val="2"/>
        </w:numPr>
        <w:spacing w:before="60" w:after="60"/>
      </w:pPr>
      <w:r>
        <w:rPr>
          <w:rFonts w:ascii="Arial" w:cs="Arial" w:eastAsia="Arial" w:hAnsi="Arial"/>
          <w:sz w:val="20"/>
          <w:szCs w:val="20"/>
        </w:rPr>
        <w:t xml:space="preserve">The isolation working voltage (VIORM) must be verified against the expected ground potential difference between the host and bus sides, plus any safety standard requirements. Common pitfall: the VIORM on the datasheet is the maximum continuous voltage — it must be greater than the worst-case fault-condition voltage, not just the normal operating ground shift. For IEC 61010-1 Category III (distribution-level equipment): VIORM ≥ 2 kVpeak; for Category II (local-level equipment): VIORM ≥ 1 kVpeak.</w:t>
      </w:r>
    </w:p>
    <w:p>
      <w:pPr>
        <w:pStyle w:val="ListParagraph"/>
        <w:numPr>
          <w:ilvl w:val="0"/>
          <w:numId w:val="2"/>
        </w:numPr>
        <w:spacing w:before="60" w:after="60"/>
      </w:pPr>
      <w:r>
        <w:rPr>
          <w:rFonts w:ascii="Arial" w:cs="Arial" w:eastAsia="Arial" w:hAnsi="Arial"/>
          <w:sz w:val="20"/>
          <w:szCs w:val="20"/>
        </w:rPr>
        <w:t xml:space="preserve">A non-isolated transceiver cannot substitute for an isolated device in a safety-certified system — the isolation is a structural safety measure, not a performance preference. Removing it invalidates the safety certification regardless of the electrical performance of the substitution.</w:t>
      </w:r>
    </w:p>
    <w:p>
      <w:pPr>
        <w:spacing w:before="60" w:after="60"/>
      </w:pPr>
    </w:p>
    <w:p>
      <w:pPr>
        <w:spacing w:before="240" w:after="80"/>
      </w:pPr>
      <w:r>
        <w:t xml:space="preserve"/>
      </w:r>
    </w:p>
    <w:p>
      <w:pPr>
        <w:pStyle w:val="Heading1"/>
        <w:spacing w:before="240" w:after="120"/>
      </w:pPr>
      <w:r>
        <w:rPr>
          <w:rFonts w:ascii="Arial" w:cs="Arial" w:eastAsia="Arial" w:hAnsi="Arial"/>
          <w:b/>
          <w:bCs/>
          <w:color w:val="1F3864"/>
          <w:sz w:val="28"/>
          <w:szCs w:val="28"/>
        </w:rPr>
        <w:t xml:space="preserve">Logic Type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6660"/>
      </w:tblGrid>
      <w:tr>
        <w:tc>
          <w:tcPr>
            <w:gridSpan w:val="3"/>
            <w:tcBorders>
              <w:top w:val="single" w:color="8DB4E2" w:sz="1"/>
              <w:left w:val="single" w:color="8DB4E2" w:sz="1"/>
              <w:bottom w:val="single" w:color="8DB4E2" w:sz="1"/>
              <w:right w:val="single" w:color="8DB4E2" w:sz="1"/>
            </w:tcBorders>
            <w:shd w:fill="1F3864" w:val="clear"/>
            <w:tcMar>
              <w:top w:type="dxa" w:w="60"/>
              <w:left w:type="dxa" w:w="120"/>
              <w:bottom w:type="dxa" w:w="60"/>
              <w:right w:type="dxa" w:w="120"/>
            </w:tcMar>
          </w:tcPr>
          <w:p>
            <w:r>
              <w:rPr>
                <w:rFonts w:ascii="Arial" w:cs="Arial" w:eastAsia="Arial" w:hAnsi="Arial"/>
                <w:b/>
                <w:bCs/>
                <w:color w:val="FFFFFF"/>
                <w:sz w:val="22"/>
                <w:szCs w:val="22"/>
              </w:rPr>
              <w:t xml:space="preserve">Logic Type Summary</w:t>
            </w:r>
          </w:p>
        </w:tc>
      </w:tr>
      <w:tr>
        <w:tc>
          <w:tcPr>
            <w:tcBorders>
              <w:top w:val="single" w:color="8DB4E2" w:sz="1"/>
              <w:left w:val="single" w:color="8DB4E2" w:sz="1"/>
              <w:bottom w:val="single" w:color="8DB4E2" w:sz="1"/>
              <w:right w:val="single" w:color="8DB4E2" w:sz="1"/>
            </w:tcBorders>
            <w:shd w:fill="D6E4F0" w:val="clear"/>
            <w:tcMar>
              <w:top w:type="dxa" w:w="60"/>
              <w:left w:type="dxa" w:w="100"/>
              <w:bottom w:type="dxa" w:w="60"/>
              <w:right w:type="dxa" w:w="100"/>
            </w:tcMar>
          </w:tcPr>
          <w:p>
            <w:r>
              <w:rPr>
                <w:rFonts w:ascii="Arial" w:cs="Arial" w:eastAsia="Arial" w:hAnsi="Arial"/>
                <w:b/>
                <w:bCs/>
                <w:sz w:val="20"/>
                <w:szCs w:val="20"/>
              </w:rPr>
              <w:t xml:space="preserve">Logic Type</w:t>
            </w:r>
          </w:p>
        </w:tc>
        <w:tc>
          <w:tcPr>
            <w:tcBorders>
              <w:top w:val="single" w:color="8DB4E2" w:sz="1"/>
              <w:left w:val="single" w:color="8DB4E2" w:sz="1"/>
              <w:bottom w:val="single" w:color="8DB4E2" w:sz="1"/>
              <w:right w:val="single" w:color="8DB4E2" w:sz="1"/>
            </w:tcBorders>
            <w:shd w:fill="D6E4F0" w:val="clear"/>
            <w:tcMar>
              <w:top w:type="dxa" w:w="60"/>
              <w:left w:type="dxa" w:w="100"/>
              <w:bottom w:type="dxa" w:w="60"/>
              <w:right w:type="dxa" w:w="100"/>
            </w:tcMar>
          </w:tcPr>
          <w:p>
            <w:r>
              <w:rPr>
                <w:rFonts w:ascii="Arial" w:cs="Arial" w:eastAsia="Arial" w:hAnsi="Arial"/>
                <w:b/>
                <w:bCs/>
                <w:sz w:val="20"/>
                <w:szCs w:val="20"/>
              </w:rPr>
              <w:t xml:space="preserve">Count</w:t>
            </w:r>
          </w:p>
        </w:tc>
        <w:tc>
          <w:tcPr>
            <w:tcBorders>
              <w:top w:val="single" w:color="8DB4E2" w:sz="1"/>
              <w:left w:val="single" w:color="8DB4E2" w:sz="1"/>
              <w:bottom w:val="single" w:color="8DB4E2" w:sz="1"/>
              <w:right w:val="single" w:color="8DB4E2" w:sz="1"/>
            </w:tcBorders>
            <w:shd w:fill="D6E4F0" w:val="clear"/>
            <w:tcMar>
              <w:top w:type="dxa" w:w="60"/>
              <w:left w:type="dxa" w:w="100"/>
              <w:bottom w:type="dxa" w:w="60"/>
              <w:right w:type="dxa" w:w="100"/>
            </w:tcMar>
          </w:tcPr>
          <w:p>
            <w:r>
              <w:rPr>
                <w:rFonts w:ascii="Arial" w:cs="Arial" w:eastAsia="Arial" w:hAnsi="Arial"/>
                <w:b/>
                <w:bCs/>
                <w:sz w:val="20"/>
                <w:szCs w:val="20"/>
              </w:rPr>
              <w:t xml:space="preserve">Attributes</w:t>
            </w:r>
          </w:p>
        </w:tc>
      </w:tr>
      <w:tr>
        <w:tc>
          <w:tcPr>
            <w:tcBorders>
              <w:top w:val="single" w:color="8DB4E2" w:sz="1"/>
              <w:left w:val="single" w:color="8DB4E2" w:sz="1"/>
              <w:bottom w:val="single" w:color="8DB4E2" w:sz="1"/>
              <w:right w:val="single" w:color="8DB4E2" w:sz="1"/>
            </w:tcBorders>
            <w:shd w:fill="C00000" w:val="clear"/>
            <w:tcMar>
              <w:top w:type="dxa" w:w="60"/>
              <w:left w:type="dxa" w:w="100"/>
              <w:bottom w:type="dxa" w:w="60"/>
              <w:right w:type="dxa" w:w="100"/>
            </w:tcMar>
          </w:tcPr>
          <w:p>
            <w:r>
              <w:rPr>
                <w:rFonts w:ascii="Arial" w:cs="Arial" w:eastAsia="Arial" w:hAnsi="Arial"/>
                <w:b/>
                <w:bCs/>
                <w:color w:val="000000"/>
                <w:sz w:val="20"/>
                <w:szCs w:val="20"/>
              </w:rPr>
              <w:t xml:space="preserve">Identity</w:t>
            </w:r>
          </w:p>
        </w:tc>
        <w:tc>
          <w:tcPr>
            <w:tcBorders>
              <w:top w:val="single" w:color="8DB4E2" w:sz="1"/>
              <w:left w:val="single" w:color="8DB4E2" w:sz="1"/>
              <w:bottom w:val="single" w:color="8DB4E2" w:sz="1"/>
              <w:right w:val="single" w:color="8DB4E2" w:sz="1"/>
            </w:tcBorders>
            <w:tcMar>
              <w:top w:type="dxa" w:w="60"/>
              <w:left w:type="dxa" w:w="100"/>
              <w:bottom w:type="dxa" w:w="60"/>
              <w:right w:type="dxa" w:w="100"/>
            </w:tcMar>
          </w:tcPr>
          <w:p>
            <w:r>
              <w:rPr>
                <w:rFonts w:ascii="Arial" w:cs="Arial" w:eastAsia="Arial" w:hAnsi="Arial"/>
                <w:sz w:val="20"/>
                <w:szCs w:val="20"/>
              </w:rPr>
              <w:t xml:space="preserve">6</w:t>
            </w:r>
          </w:p>
        </w:tc>
        <w:tc>
          <w:tcPr>
            <w:tcBorders>
              <w:top w:val="single" w:color="8DB4E2" w:sz="1"/>
              <w:left w:val="single" w:color="8DB4E2" w:sz="1"/>
              <w:bottom w:val="single" w:color="8DB4E2" w:sz="1"/>
              <w:right w:val="single" w:color="8DB4E2" w:sz="1"/>
            </w:tcBorders>
            <w:tcMar>
              <w:top w:type="dxa" w:w="60"/>
              <w:left w:type="dxa" w:w="100"/>
              <w:bottom w:type="dxa" w:w="60"/>
              <w:right w:type="dxa" w:w="100"/>
            </w:tcMar>
          </w:tcPr>
          <w:p>
            <w:r>
              <w:rPr>
                <w:rFonts w:ascii="Arial" w:cs="Arial" w:eastAsia="Arial" w:hAnsi="Arial"/>
                <w:sz w:val="20"/>
                <w:szCs w:val="20"/>
              </w:rPr>
              <w:t xml:space="preserve">Protocol/Interface Standard, Data Rate, Operating Mode, CAN Variant/USB Speed, Driver Enable Polarity, Galvanic Isolation Type</w:t>
            </w:r>
          </w:p>
        </w:tc>
      </w:tr>
      <w:tr>
        <w:tc>
          <w:tcPr>
            <w:tcBorders>
              <w:top w:val="single" w:color="8DB4E2" w:sz="1"/>
              <w:left w:val="single" w:color="8DB4E2" w:sz="1"/>
              <w:bottom w:val="single" w:color="8DB4E2" w:sz="1"/>
              <w:right w:val="single" w:color="8DB4E2" w:sz="1"/>
            </w:tcBorders>
            <w:shd w:fill="E04040" w:val="clear"/>
            <w:tcMar>
              <w:top w:type="dxa" w:w="60"/>
              <w:left w:type="dxa" w:w="100"/>
              <w:bottom w:type="dxa" w:w="60"/>
              <w:right w:type="dxa" w:w="100"/>
            </w:tcMar>
          </w:tcPr>
          <w:p>
            <w:r>
              <w:rPr>
                <w:rFonts w:ascii="Arial" w:cs="Arial" w:eastAsia="Arial" w:hAnsi="Arial"/>
                <w:b/>
                <w:bCs/>
                <w:color w:val="000000"/>
                <w:sz w:val="20"/>
                <w:szCs w:val="20"/>
              </w:rPr>
              <w:t xml:space="preserve">Identity (Flag)</w:t>
            </w:r>
          </w:p>
        </w:tc>
        <w:tc>
          <w:tcPr>
            <w:tcBorders>
              <w:top w:val="single" w:color="8DB4E2" w:sz="1"/>
              <w:left w:val="single" w:color="8DB4E2" w:sz="1"/>
              <w:bottom w:val="single" w:color="8DB4E2" w:sz="1"/>
              <w:right w:val="single" w:color="8DB4E2" w:sz="1"/>
            </w:tcBorders>
            <w:tcMar>
              <w:top w:type="dxa" w:w="60"/>
              <w:left w:type="dxa" w:w="100"/>
              <w:bottom w:type="dxa" w:w="60"/>
              <w:right w:type="dxa" w:w="100"/>
            </w:tcMar>
          </w:tcPr>
          <w:p>
            <w:r>
              <w:rPr>
                <w:rFonts w:ascii="Arial" w:cs="Arial" w:eastAsia="Arial" w:hAnsi="Arial"/>
                <w:sz w:val="20"/>
                <w:szCs w:val="20"/>
              </w:rPr>
              <w:t xml:space="preserve">3</w:t>
            </w:r>
          </w:p>
        </w:tc>
        <w:tc>
          <w:tcPr>
            <w:tcBorders>
              <w:top w:val="single" w:color="8DB4E2" w:sz="1"/>
              <w:left w:val="single" w:color="8DB4E2" w:sz="1"/>
              <w:bottom w:val="single" w:color="8DB4E2" w:sz="1"/>
              <w:right w:val="single" w:color="8DB4E2" w:sz="1"/>
            </w:tcBorders>
            <w:tcMar>
              <w:top w:type="dxa" w:w="60"/>
              <w:left w:type="dxa" w:w="100"/>
              <w:bottom w:type="dxa" w:w="60"/>
              <w:right w:type="dxa" w:w="100"/>
            </w:tcMar>
          </w:tcPr>
          <w:p>
            <w:r>
              <w:rPr>
                <w:rFonts w:ascii="Arial" w:cs="Arial" w:eastAsia="Arial" w:hAnsi="Arial"/>
                <w:sz w:val="20"/>
                <w:szCs w:val="20"/>
              </w:rPr>
              <w:t xml:space="preserve">Failsafe Receiver Behavior, TXD Dominant Timeout, AEC-Q100</w:t>
            </w:r>
          </w:p>
        </w:tc>
      </w:tr>
      <w:tr>
        <w:tc>
          <w:tcPr>
            <w:tcBorders>
              <w:top w:val="single" w:color="8DB4E2" w:sz="1"/>
              <w:left w:val="single" w:color="8DB4E2" w:sz="1"/>
              <w:bottom w:val="single" w:color="8DB4E2" w:sz="1"/>
              <w:right w:val="single" w:color="8DB4E2" w:sz="1"/>
            </w:tcBorders>
            <w:shd w:fill="375623" w:val="clear"/>
            <w:tcMar>
              <w:top w:type="dxa" w:w="60"/>
              <w:left w:type="dxa" w:w="100"/>
              <w:bottom w:type="dxa" w:w="60"/>
              <w:right w:type="dxa" w:w="100"/>
            </w:tcMar>
          </w:tcPr>
          <w:p>
            <w:r>
              <w:rPr>
                <w:rFonts w:ascii="Arial" w:cs="Arial" w:eastAsia="Arial" w:hAnsi="Arial"/>
                <w:b/>
                <w:bCs/>
                <w:color w:val="000000"/>
                <w:sz w:val="20"/>
                <w:szCs w:val="20"/>
              </w:rPr>
              <w:t xml:space="preserve">Threshold ≤</w:t>
            </w:r>
          </w:p>
        </w:tc>
        <w:tc>
          <w:tcPr>
            <w:tcBorders>
              <w:top w:val="single" w:color="8DB4E2" w:sz="1"/>
              <w:left w:val="single" w:color="8DB4E2" w:sz="1"/>
              <w:bottom w:val="single" w:color="8DB4E2" w:sz="1"/>
              <w:right w:val="single" w:color="8DB4E2" w:sz="1"/>
            </w:tcBorders>
            <w:tcMar>
              <w:top w:type="dxa" w:w="60"/>
              <w:left w:type="dxa" w:w="100"/>
              <w:bottom w:type="dxa" w:w="60"/>
              <w:right w:type="dxa" w:w="100"/>
            </w:tcMar>
          </w:tcPr>
          <w:p>
            <w:r>
              <w:rPr>
                <w:rFonts w:ascii="Arial" w:cs="Arial" w:eastAsia="Arial" w:hAnsi="Arial"/>
                <w:sz w:val="20"/>
                <w:szCs w:val="20"/>
              </w:rPr>
              <w:t xml:space="preserve">3</w:t>
            </w:r>
          </w:p>
        </w:tc>
        <w:tc>
          <w:tcPr>
            <w:tcBorders>
              <w:top w:val="single" w:color="8DB4E2" w:sz="1"/>
              <w:left w:val="single" w:color="8DB4E2" w:sz="1"/>
              <w:bottom w:val="single" w:color="8DB4E2" w:sz="1"/>
              <w:right w:val="single" w:color="8DB4E2" w:sz="1"/>
            </w:tcBorders>
            <w:tcMar>
              <w:top w:type="dxa" w:w="60"/>
              <w:left w:type="dxa" w:w="100"/>
              <w:bottom w:type="dxa" w:w="60"/>
              <w:right w:type="dxa" w:w="100"/>
            </w:tcMar>
          </w:tcPr>
          <w:p>
            <w:r>
              <w:rPr>
                <w:rFonts w:ascii="Arial" w:cs="Arial" w:eastAsia="Arial" w:hAnsi="Arial"/>
                <w:sz w:val="20"/>
                <w:szCs w:val="20"/>
              </w:rPr>
              <w:t xml:space="preserve">Propagation Delay, Unit Loads/Bus Loading, Shutdown/Standby Current</w:t>
            </w:r>
          </w:p>
        </w:tc>
      </w:tr>
      <w:tr>
        <w:tc>
          <w:tcPr>
            <w:tcBorders>
              <w:top w:val="single" w:color="8DB4E2" w:sz="1"/>
              <w:left w:val="single" w:color="8DB4E2" w:sz="1"/>
              <w:bottom w:val="single" w:color="8DB4E2" w:sz="1"/>
              <w:right w:val="single" w:color="8DB4E2" w:sz="1"/>
            </w:tcBorders>
            <w:shd w:fill="507A3A" w:val="clear"/>
            <w:tcMar>
              <w:top w:type="dxa" w:w="60"/>
              <w:left w:type="dxa" w:w="100"/>
              <w:bottom w:type="dxa" w:w="60"/>
              <w:right w:type="dxa" w:w="100"/>
            </w:tcMar>
          </w:tcPr>
          <w:p>
            <w:r>
              <w:rPr>
                <w:rFonts w:ascii="Arial" w:cs="Arial" w:eastAsia="Arial" w:hAnsi="Arial"/>
                <w:b/>
                <w:bCs/>
                <w:color w:val="000000"/>
                <w:sz w:val="20"/>
                <w:szCs w:val="20"/>
              </w:rPr>
              <w:t xml:space="preserve">Threshold ≥</w:t>
            </w:r>
          </w:p>
        </w:tc>
        <w:tc>
          <w:tcPr>
            <w:tcBorders>
              <w:top w:val="single" w:color="8DB4E2" w:sz="1"/>
              <w:left w:val="single" w:color="8DB4E2" w:sz="1"/>
              <w:bottom w:val="single" w:color="8DB4E2" w:sz="1"/>
              <w:right w:val="single" w:color="8DB4E2" w:sz="1"/>
            </w:tcBorders>
            <w:tcMar>
              <w:top w:type="dxa" w:w="60"/>
              <w:left w:type="dxa" w:w="100"/>
              <w:bottom w:type="dxa" w:w="60"/>
              <w:right w:type="dxa" w:w="100"/>
            </w:tcMar>
          </w:tcPr>
          <w:p>
            <w:r>
              <w:rPr>
                <w:rFonts w:ascii="Arial" w:cs="Arial" w:eastAsia="Arial" w:hAnsi="Arial"/>
                <w:sz w:val="20"/>
                <w:szCs w:val="20"/>
              </w:rPr>
              <w:t xml:space="preserve">2</w:t>
            </w:r>
          </w:p>
        </w:tc>
        <w:tc>
          <w:tcPr>
            <w:tcBorders>
              <w:top w:val="single" w:color="8DB4E2" w:sz="1"/>
              <w:left w:val="single" w:color="8DB4E2" w:sz="1"/>
              <w:bottom w:val="single" w:color="8DB4E2" w:sz="1"/>
              <w:right w:val="single" w:color="8DB4E2" w:sz="1"/>
            </w:tcBorders>
            <w:tcMar>
              <w:top w:type="dxa" w:w="60"/>
              <w:left w:type="dxa" w:w="100"/>
              <w:bottom w:type="dxa" w:w="60"/>
              <w:right w:type="dxa" w:w="100"/>
            </w:tcMar>
          </w:tcPr>
          <w:p>
            <w:r>
              <w:rPr>
                <w:rFonts w:ascii="Arial" w:cs="Arial" w:eastAsia="Arial" w:hAnsi="Arial"/>
                <w:sz w:val="20"/>
                <w:szCs w:val="20"/>
              </w:rPr>
              <w:t xml:space="preserve">Bus Fault Protection Voltage, ESD Rating — Bus Pins</w:t>
            </w:r>
          </w:p>
        </w:tc>
      </w:tr>
      <w:tr>
        <w:tc>
          <w:tcPr>
            <w:tcBorders>
              <w:top w:val="single" w:color="8DB4E2" w:sz="1"/>
              <w:left w:val="single" w:color="8DB4E2" w:sz="1"/>
              <w:bottom w:val="single" w:color="8DB4E2" w:sz="1"/>
              <w:right w:val="single" w:color="8DB4E2" w:sz="1"/>
            </w:tcBorders>
            <w:shd w:fill="507A3A" w:val="clear"/>
            <w:tcMar>
              <w:top w:type="dxa" w:w="60"/>
              <w:left w:type="dxa" w:w="100"/>
              <w:bottom w:type="dxa" w:w="60"/>
              <w:right w:type="dxa" w:w="100"/>
            </w:tcMar>
          </w:tcPr>
          <w:p>
            <w:r>
              <w:rPr>
                <w:rFonts w:ascii="Arial" w:cs="Arial" w:eastAsia="Arial" w:hAnsi="Arial"/>
                <w:b/>
                <w:bCs/>
                <w:color w:val="000000"/>
                <w:sz w:val="20"/>
                <w:szCs w:val="20"/>
              </w:rPr>
              <w:t xml:space="preserve">Threshold ⊇</w:t>
            </w:r>
          </w:p>
        </w:tc>
        <w:tc>
          <w:tcPr>
            <w:tcBorders>
              <w:top w:val="single" w:color="8DB4E2" w:sz="1"/>
              <w:left w:val="single" w:color="8DB4E2" w:sz="1"/>
              <w:bottom w:val="single" w:color="8DB4E2" w:sz="1"/>
              <w:right w:val="single" w:color="8DB4E2" w:sz="1"/>
            </w:tcBorders>
            <w:tcMar>
              <w:top w:type="dxa" w:w="60"/>
              <w:left w:type="dxa" w:w="100"/>
              <w:bottom w:type="dxa" w:w="60"/>
              <w:right w:type="dxa" w:w="100"/>
            </w:tcMar>
          </w:tcPr>
          <w:p>
            <w:r>
              <w:rPr>
                <w:rFonts w:ascii="Arial" w:cs="Arial" w:eastAsia="Arial" w:hAnsi="Arial"/>
                <w:sz w:val="20"/>
                <w:szCs w:val="20"/>
              </w:rPr>
              <w:t xml:space="preserve">4</w:t>
            </w:r>
          </w:p>
        </w:tc>
        <w:tc>
          <w:tcPr>
            <w:tcBorders>
              <w:top w:val="single" w:color="8DB4E2" w:sz="1"/>
              <w:left w:val="single" w:color="8DB4E2" w:sz="1"/>
              <w:bottom w:val="single" w:color="8DB4E2" w:sz="1"/>
              <w:right w:val="single" w:color="8DB4E2" w:sz="1"/>
            </w:tcBorders>
            <w:tcMar>
              <w:top w:type="dxa" w:w="60"/>
              <w:left w:type="dxa" w:w="100"/>
              <w:bottom w:type="dxa" w:w="60"/>
              <w:right w:type="dxa" w:w="100"/>
            </w:tcMar>
          </w:tcPr>
          <w:p>
            <w:r>
              <w:rPr>
                <w:rFonts w:ascii="Arial" w:cs="Arial" w:eastAsia="Arial" w:hAnsi="Arial"/>
                <w:sz w:val="20"/>
                <w:szCs w:val="20"/>
              </w:rPr>
              <w:t xml:space="preserve">Differential Output Voltage VOD, Input Receiver Threshold &amp; CM Range, Supply Voltage Range, Operating Temperature Range</w:t>
            </w:r>
          </w:p>
        </w:tc>
      </w:tr>
      <w:tr>
        <w:tc>
          <w:tcPr>
            <w:tcBorders>
              <w:top w:val="single" w:color="8DB4E2" w:sz="1"/>
              <w:left w:val="single" w:color="8DB4E2" w:sz="1"/>
              <w:bottom w:val="single" w:color="8DB4E2" w:sz="1"/>
              <w:right w:val="single" w:color="8DB4E2" w:sz="1"/>
            </w:tcBorders>
            <w:shd w:fill="7030A0" w:val="clear"/>
            <w:tcMar>
              <w:top w:type="dxa" w:w="60"/>
              <w:left w:type="dxa" w:w="100"/>
              <w:bottom w:type="dxa" w:w="60"/>
              <w:right w:type="dxa" w:w="100"/>
            </w:tcMar>
          </w:tcPr>
          <w:p>
            <w:r>
              <w:rPr>
                <w:rFonts w:ascii="Arial" w:cs="Arial" w:eastAsia="Arial" w:hAnsi="Arial"/>
                <w:b/>
                <w:bCs/>
                <w:color w:val="000000"/>
                <w:sz w:val="20"/>
                <w:szCs w:val="20"/>
              </w:rPr>
              <w:t xml:space="preserve">Application Review</w:t>
            </w:r>
          </w:p>
        </w:tc>
        <w:tc>
          <w:tcPr>
            <w:tcBorders>
              <w:top w:val="single" w:color="8DB4E2" w:sz="1"/>
              <w:left w:val="single" w:color="8DB4E2" w:sz="1"/>
              <w:bottom w:val="single" w:color="8DB4E2" w:sz="1"/>
              <w:right w:val="single" w:color="8DB4E2" w:sz="1"/>
            </w:tcBorders>
            <w:tcMar>
              <w:top w:type="dxa" w:w="60"/>
              <w:left w:type="dxa" w:w="100"/>
              <w:bottom w:type="dxa" w:w="60"/>
              <w:right w:type="dxa" w:w="100"/>
            </w:tcMar>
          </w:tcPr>
          <w:p>
            <w:r>
              <w:rPr>
                <w:rFonts w:ascii="Arial" w:cs="Arial" w:eastAsia="Arial" w:hAnsi="Arial"/>
                <w:sz w:val="20"/>
                <w:szCs w:val="20"/>
              </w:rPr>
              <w:t xml:space="preserve">3</w:t>
            </w:r>
          </w:p>
        </w:tc>
        <w:tc>
          <w:tcPr>
            <w:tcBorders>
              <w:top w:val="single" w:color="8DB4E2" w:sz="1"/>
              <w:left w:val="single" w:color="8DB4E2" w:sz="1"/>
              <w:bottom w:val="single" w:color="8DB4E2" w:sz="1"/>
              <w:right w:val="single" w:color="8DB4E2" w:sz="1"/>
            </w:tcBorders>
            <w:tcMar>
              <w:top w:type="dxa" w:w="60"/>
              <w:left w:type="dxa" w:w="100"/>
              <w:bottom w:type="dxa" w:w="60"/>
              <w:right w:type="dxa" w:w="100"/>
            </w:tcMar>
          </w:tcPr>
          <w:p>
            <w:r>
              <w:rPr>
                <w:rFonts w:ascii="Arial" w:cs="Arial" w:eastAsia="Arial" w:hAnsi="Arial"/>
                <w:sz w:val="20"/>
                <w:szCs w:val="20"/>
              </w:rPr>
              <w:t xml:space="preserve">Slew Rate Limiting, Split Termination/Internal Termination, Package / Footprint</w:t>
            </w:r>
          </w:p>
        </w:tc>
      </w:tr>
      <w:tr>
        <w:tc>
          <w:tcPr>
            <w:tcBorders>
              <w:top w:val="single" w:color="8DB4E2" w:sz="1"/>
              <w:left w:val="single" w:color="8DB4E2" w:sz="1"/>
              <w:bottom w:val="single" w:color="8DB4E2" w:sz="1"/>
              <w:right w:val="single" w:color="8DB4E2"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TOTAL: 22 attributes across 6 sections</w:t>
            </w:r>
          </w:p>
        </w:tc>
        <w:tc>
          <w:tcPr>
            <w:tcBorders>
              <w:top w:val="single" w:color="8DB4E2" w:sz="1"/>
              <w:left w:val="single" w:color="8DB4E2" w:sz="1"/>
              <w:bottom w:val="single" w:color="8DB4E2" w:sz="1"/>
              <w:right w:val="single" w:color="8DB4E2" w:sz="1"/>
            </w:tcBorders>
            <w:tcMar>
              <w:top w:type="dxa" w:w="60"/>
              <w:left w:type="dxa" w:w="100"/>
              <w:bottom w:type="dxa" w:w="60"/>
              <w:right w:type="dxa" w:w="100"/>
            </w:tcMar>
          </w:tcPr>
          <w:p>
            <w:r>
              <w:rPr>
                <w:rFonts w:ascii="Arial" w:cs="Arial" w:eastAsia="Arial" w:hAnsi="Arial"/>
                <w:sz w:val="20"/>
                <w:szCs w:val="20"/>
              </w:rPr>
              <w:t xml:space="preserve"/>
            </w:r>
          </w:p>
        </w:tc>
        <w:tc>
          <w:tcPr>
            <w:tcBorders>
              <w:top w:val="single" w:color="8DB4E2" w:sz="1"/>
              <w:left w:val="single" w:color="8DB4E2" w:sz="1"/>
              <w:bottom w:val="single" w:color="8DB4E2" w:sz="1"/>
              <w:right w:val="single" w:color="8DB4E2" w:sz="1"/>
            </w:tcBorders>
            <w:tcMar>
              <w:top w:type="dxa" w:w="60"/>
              <w:left w:type="dxa" w:w="100"/>
              <w:bottom w:type="dxa" w:w="60"/>
              <w:right w:type="dxa" w:w="100"/>
            </w:tcMar>
          </w:tcPr>
          <w:p>
            <w:r>
              <w:rPr>
                <w:rFonts w:ascii="Arial" w:cs="Arial" w:eastAsia="Arial" w:hAnsi="Arial"/>
                <w:sz w:val="20"/>
                <w:szCs w:val="20"/>
              </w:rPr>
              <w:t xml:space="preserve"/>
            </w:r>
          </w:p>
        </w:tc>
      </w:tr>
    </w:tbl>
    <w:p>
      <w:pPr>
        <w:spacing w:before="240" w:after="120"/>
      </w:pPr>
      <w:r>
        <w:rPr>
          <w:rFonts w:ascii="Arial" w:cs="Arial" w:eastAsia="Arial" w:hAnsi="Arial"/>
          <w:i/>
          <w:iCs/>
          <w:sz w:val="20"/>
          <w:szCs w:val="20"/>
        </w:rPr>
        <w:t xml:space="preserve">Document generated for Component Replacement Engine — Block C: Standard ICs. Family C7 of 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540" w:hanging="3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spacing w:before="40" w:after="40"/>
        <w:ind w:left="90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2026-03-02T18:28:54.262Z</dcterms:created>
  <dcterms:modified xsi:type="dcterms:W3CDTF">2026-03-02T18:28:54.263Z</dcterms:modified>
</cp:coreProperties>
</file>

<file path=docProps/custom.xml><?xml version="1.0" encoding="utf-8"?>
<Properties xmlns="http://schemas.openxmlformats.org/officeDocument/2006/custom-properties" xmlns:vt="http://schemas.openxmlformats.org/officeDocument/2006/docPropsVTypes"/>
</file>