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b/>
          <w:bCs/>
          <w:color w:val="1F4E79"/>
          <w:sz w:val="36"/>
          <w:szCs w:val="36"/>
        </w:rPr>
        <w:t xml:space="preserve">Component Replacement Logic Table</w:t>
      </w:r>
    </w:p>
    <w:p>
      <w:pPr>
        <w:spacing w:before="0" w:after="60"/>
      </w:pPr>
      <w:r>
        <w:rPr>
          <w:rFonts w:ascii="Arial" w:cs="Arial" w:eastAsia="Arial" w:hAnsi="Arial"/>
          <w:color w:val="444444"/>
          <w:sz w:val="24"/>
          <w:szCs w:val="24"/>
        </w:rPr>
        <w:t xml:space="preserve">Family C10 — Digital-to-Analog Converters (DACs)  |  Block C: Standard ICs</w:t>
      </w:r>
    </w:p>
    <w:p>
      <w:pPr>
        <w:spacing w:before="0" w:after="240"/>
      </w:pPr>
      <w:r>
        <w:rPr>
          <w:rFonts w:ascii="Arial" w:cs="Arial" w:eastAsia="Arial" w:hAnsi="Arial"/>
          <w:i/>
          <w:iCs/>
          <w:color w:val="666666"/>
          <w:sz w:val="22"/>
          <w:szCs w:val="22"/>
        </w:rPr>
        <w:t xml:space="preserve">Context Sensitivity: High  |  22 Matching Rules</w:t>
      </w:r>
    </w:p>
    <w:p>
      <w:pPr>
        <w:pStyle w:val="Heading1"/>
        <w:spacing w:before="200" w:after="100"/>
      </w:pPr>
      <w:r>
        <w:rPr>
          <w:rFonts w:ascii="Arial" w:cs="Arial" w:eastAsia="Arial" w:hAnsi="Arial"/>
          <w:b/>
          <w:bCs/>
          <w:color w:val="1F4E79"/>
          <w:sz w:val="28"/>
          <w:szCs w:val="28"/>
        </w:rPr>
        <w:t xml:space="preserve">1. Family Overview</w:t>
      </w:r>
    </w:p>
    <w:p>
      <w:pPr>
        <w:spacing w:before="60" w:after="60"/>
      </w:pPr>
      <w:r>
        <w:rPr>
          <w:rFonts w:ascii="Arial" w:cs="Arial" w:eastAsia="Arial" w:hAnsi="Arial"/>
          <w:b w:val="false"/>
          <w:bCs w:val="false"/>
          <w:i w:val="false"/>
          <w:iCs w:val="false"/>
          <w:sz w:val="20"/>
          <w:szCs w:val="20"/>
        </w:rPr>
        <w:t xml:space="preserve">Family C10 covers Digital-to-Analog Converters. Output type (voltage vs. current) is the first and hardest gate — these are architecturally incompatible and serve completely different circuit topologies. Within voltage-output DACs, resolution class, glitch energy, and power-on reset state drive the most safety-critical substitution constraints.</w:t>
      </w:r>
    </w:p>
    <w:p>
      <w:pPr>
        <w:spacing w:before="60" w:after="60"/>
      </w:pPr>
      <w:r>
        <w:rPr>
          <w:rFonts w:ascii="Arial" w:cs="Arial" w:eastAsia="Arial" w:hAnsi="Arial"/>
          <w:b w:val="false"/>
          <w:bCs w:val="false"/>
          <w:i w:val="false"/>
          <w:iCs w:val="false"/>
          <w:sz w:val="20"/>
          <w:szCs w:val="20"/>
        </w:rPr>
        <w:t xml:space="preserve">Key device examples: Voltage-output precision — AD5791 (20-bit, SPI), DAC8568 (16-bit, 8-ch, SPI), DAC8532 (16-bit, 2-ch), LTC2756 (18-bit), MAX5762 (16-bit). Voltage-output general-purpose — MCP4921 (12-bit, SPI), DAC7311 (12-bit, I2C), AD5625 (12-bit, 4-ch). Current-output industrial — DAC8760 (16-bit, 4–20mA), XTR116 (4–20mA transmitter). Audio — PCM5102A (32-bit, I2S), CS4344 (24-bit).</w:t>
      </w:r>
    </w:p>
    <w:p>
      <w:pPr>
        <w:spacing w:before="60" w:after="60"/>
      </w:pPr>
      <w:r>
        <w:rPr>
          <w:rFonts w:ascii="Arial" w:cs="Arial" w:eastAsia="Arial" w:hAnsi="Arial"/>
          <w:b w:val="false"/>
          <w:bCs w:val="false"/>
          <w:i w:val="false"/>
          <w:iCs w:val="false"/>
          <w:sz w:val="20"/>
          <w:szCs w:val="20"/>
        </w:rPr>
        <w:t xml:space="preserve">Related Families: C6 (Voltage References — external Vref), C9 (ADCs — companion converters), C4 (Op-Amps — output buffer for unbuffered DACs), C1 (LDOs — DAC analog supply).</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2. Matching Rules — 22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200"/>
        <w:gridCol w:w="460"/>
        <w:gridCol w:w="540"/>
        <w:gridCol w:w="5160"/>
      </w:tblGrid>
      <w:tr>
        <w:tc>
          <w:tcPr>
            <w:tcW w:type="dxa" w:w="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Weight</w:t>
            </w:r>
          </w:p>
        </w:tc>
        <w:tc>
          <w:tcPr>
            <w:tcW w:type="dxa" w:w="54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blockOn
Missing</w:t>
            </w:r>
          </w:p>
        </w:tc>
        <w:tc>
          <w:tcPr>
            <w:tcW w:type="dxa" w:w="5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Behavior</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1: ARCHITECTURE &amp; OUTPUT IDENTITY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Voltage output vs. Current output. These are architecturally incompatible: a voltage-output DAC drives a voltage into a load (buffered or unbuffered, output in volts); a current-output DAC sinks or sources a current into a termination resistor (output in mA, typically 0–20 mA or 4–20 mA for industrial loops). The PCB circuit, feedback network, and load are designed for one type — current-output DAC cannot substitute for voltage-output DAC or vice versa without redesigning the output stage. Post-scoring filter removes all cross-type candidates before results are returned.</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`resolution_bits`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Exact resolution match required. 12-bit ≠ 16-bit — LSB size (1 LSB = Vref / 2^N), noise floor, and update register width all change. Higher-resolution replacement is acceptable with Application Review (firmware register write width may change, scaling constants must be updated). Lower-resolution replacement is BLOCKED — it cannot replicate the original's output precision. Parsed directly from part number where encoded (DAC8562 = 12-bit, DAC8568 = 16-bit, AD5791 = 20-bit).</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`interface_type`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SPI / I2C / Parallel / Async (resistor or pin-strap programmable). Requires different firmware drivers, different PCB routing, and different pin counts. Within SPI: verify CPOL/CPHA mode, word length (16-bit vs. 24-bit transfers), and whether the DAC latches on CS rising edge or falling edge — latch timing errors cause output glitches. I2C DACs have programmable 7-bit addresses — verify no conflict on shared bus. Async (voltage-setting) DACs have no digital interface at all — they set output voltage via resistor ratio or control pin. BLOCK interface type mismatches.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`architecture`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R-2R resistor string / Current-steering / Delta-Sigma / PWM (filtered). These architectures have different noise floors, glitch profiles, and settling behaviors. R-2R: standard general-purpose, inherent glitch at major carry transitions (LSB to MSB rollover). Current-steering: high speed, large glitch energy at code transitions, requires careful PCB layout. Delta-Sigma: very low noise, inherent low-pass filtering, slow settling. PWM: requires external RC filter, filter parameters affect bandwidth and ripple. Escalated to primary for audio and precision applications (Q3).</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`output_buffered`</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Buffered output (internal op-amp drives output directly to low impedance, can source/sink current into load) vs. Unbuffered (output is a high-impedance resistor-string tap — requires external buffer op-amp to drive any significant load, and output voltage is affected by load current). If the original is unbuffered and the PCB has an external buffer op-amp, the replacement can be buffered or unbuffered. If the original is buffered and the PCB has no external buffer, an unbuffered replacement produces voltage errors under load. BLOCK unbuffered replacing buffered when no external buffer exists in the circuit.</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2: CHANNEL &amp; UPDATE TOPOLOGY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`channel_count`</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Number of DAC output channels. Replacement channel count must be &gt;= original. More channels acceptable (unused channels can be set to a safe output level). Fewer channels BLOCKED — cannot share channels without hardware changes. For multi-channel DACs: verify whether channels share a common reference or have independent references — shared-reference DACs have correlated errors between channels.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`update_rate_sps`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output update rate (samples per second). Replacement update rate must be &gt;= original. For waveform generation: update rate determines the maximum waveform frequency (Nyquist: maximum output frequency = update_rate / 2). For control loops: update rate determines the maximum control bandwidth. For audio: update rate is the sample rate (44.1 kSPS, 48 kSPS, 96 kSPS, 192 kSPS) — must match the audio stream sample rate exactly.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`power_on_reset_state`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 state immediately after power-on before firmware loads a value. Options: output = 0V (most common), output = midscale (Vref/2), output = full-scale (Vref), high-impedance (tri-stated). If the original powers on to 0V and drives a valve, heater, or actuator to a safe off state, a replacement that powers on to midscale may activate that actuator before firmware has initialized. BLOCKING when power-on state determines safety behavior. Flag as Application Review when power-on behavior is safety-neutral.</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3: OUTPUT ACCURACY &amp; LINEARITY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Integral Non-Linearity (peak, in LSBs). Maximum deviation of actual output from ideal straight-line transfer function. Replacement INL must be &lt;= original. INL directly causes output voltage errors that cannot be corrected by firmware calibration (gain + offset only correct two points; INL describes the error at every intermediate code). A 16-bit DAC with INL = ±4 LSB has a worst-case output error of ±4/65536 = ±0.006% full scale. Escalated to primary for precision DC (Q3).</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`dnl_lsb`</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Differential Non-Linearity (peak, in LSBs). Measures step-size uniformity between adjacent output codes. DNL &gt; +1 LSB means the DAC is non-monotonic — increasing the digital code may decrease the output voltage. Non-monotonic DACs are catastrophic in closed-loop control (positive feedback instead of negative). DNL &lt; −1 LSB means missing codes (multiple input codes produce the same output voltage). Replacement DNL must be &lt;= original. BLOCK any replacement with DNL &gt; 0.5 LSB for applications requiring monotonic behavior (Q2 = precision or high-precision).</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11</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`glitch_energy_nVs`</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 impulse area at code transitions (nanoVolt-seconds). At major code transitions (especially midscale, where most significant bits change simultaneously), DAC output momentarily shoots to an incorrect value before settling to the correct voltage. This glitch is architecture-dependent: R-2R glitch at midscale transition can be 50–500 nVs; current-steering DACs can produce much larger glitches. For audio applications: glitch energy causes clicks and pops at code boundaries — audible at &gt; ~10 nVs at audio frequencies. For precision DC: glitch at code transition disturbs control loops. For sample-and-hold circuits downstream: the glitch must settle before the next sample is taken. Escalated to primary for audio and precision waveform (Q3).</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`settling_time_us`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 for output to settle to within 1 LSB (or specified accuracy) of final value after a full-scale step change. Replacement settling time must be &lt;= original. For control loops: settling time must be &lt;&lt; control period. For waveform generation: settling time limits the maximum frequency of clean output waveforms. For multiplexed DAC outputs: settling time limits the update rate when switching between channels. Buffered outputs generally have longer settling times than unbuffered due to op-amp bandwidth limitations.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`output_noise_density_nvhz`</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 voltage noise spectral density (nV/√Hz). Escalated to primary for audio and precision DC applications (Q3). DAC output noise floor limits the minimum signal level distinguishable at the output. For audio: noise density at 1 kHz determines SNR — a 16-bit audio DAC needs noise density &lt; ~10 nV/√Hz to achieve &gt; 90 dB SNR at 20 kHz bandwidth. For precision DC: noise integrates over the loop bandwidth and limits setpoint stability.</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4: REFERENCE &amp; OUTPUT RANGE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14</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Internal reference only / External reference only / Both (internal with external override). If the PCB has an external precision reference connected to the Vref pin, the replacement must accept external reference. If the original uses internal reference and the PCB has no external reference circuit, an external-reference-only replacement is BLOCKED. Escalated to mandatory when Q2 = 12–16-bit or 16–20-bit precision.</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15</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`reference_voltage`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Internal reference voltage (V). Different internal Vref changes the output full-scale range (Vout_max = Vref for unipolar). If firmware has been calibrated with a specific full-scale range, changing the Vref requires recalibration. Example: 2.5V internal Vref on 12-bit DAC gives 1 LSB = 610 µV; replacing with a DAC with 3.3V internal Vref gives 1 LSB = 806 µV — output voltages shift by 32% for any given digital code.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`output_voltage_range`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Full-scale output voltage range (V). Replacement output range must contain the range required by the circuit. A 0–2.5V output DAC cannot substitute for a 0–5V DAC — signals in the 2.5–5V range are clipped. For bipolar output DACs (±5V, ±10V, ±Vref): verify both polarity limits. Output range is determined by both the reference voltage and any internal gain or output scaling — verify the actual output swing, not just the supply voltage.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17</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`output_current_source_ma`</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For voltage-output DACs: maximum output source current (mA) from buffered output. Replacement must meet or exceed the load current requirement. If the DAC directly drives a resistive load (R2R network, bridge circuit, low-impedance sensor bias), the buffered output current determines whether the output maintains accuracy under load. Undercurrent causes output voltage droop proportional to (load current × output impedance). For current-output DACs: full-scale output current must match original (0–20 mA loop requires exactly 20 mA full scale).</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5: POWER &amp; SUPPLY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18</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`supply_voltage_range`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Analog and digital supply voltages. Must contain actual board supply voltages. Many precision DACs have separate AVDD and DVDD supplies — verify both. Some DACs require split supply (±5V, ±12V, ±15V) for bipolar output range — these cannot substitute for single-supply devices. Wide-supply DACs (2.7V–5.5V single supply) are safer substitutions across board generations.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19</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`power_consumption_mw`</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supply power (mW). Escalated to primary for battery-powered designs (Q3). Buffered DACs with internal op-amp consume more power than unbuffered. High-speed current-steering DACs consume significantly more power than low-speed R-2R types. DAC self-heating affects internal reference stability — verify thermal drift specs at operating power level.</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6: QUALIFICATION &amp; PACKAGE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20</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Must fully cover the application operating range. Industrial: −40°C to +85°C. Automotive: −40°C to +105°C or +125°C. Note: DAC accuracy specs (INL, offset, gain, reference TC) are temperature-dependent — verify specs are maintained over the full operating range, not just at +25°C. Internal voltage reference TC directly contributes to output voltage drift.</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Escalated to mandatory + blockOnMissing for automotive (Q4). AEC-Q100 required for DACs in ECU output stages, body control modules, ADAS actuator control, and battery management. Non-AEC parts BLOCKED from automotive designs.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22</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`package_case`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SOT-23-6, MSOP-10, TSSOP-16, QFN-20, etc. Precision DACs may have exposed pad requirements for thermal management of internal reference. Layout-sensitive: output pin placement relative to AGND affects noise. Package change is Application Review — verify footprint and any layout-critical pin assignments.</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3. 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c>
          <w:tcPr>
            <w:tcW w:type="dxa" w:w="5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(Hard Gate)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`output_type`, `resolution_bits`, `interface_type`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Flag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`architecture`, `output_buffered`, `power_on_reset_state`, `reference_type`, `aec_q100`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`channel_count`, `update_rate_sps`, `output_current_source_ma`</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 `dnl_lsb`, `glitch_energy_nVs`, `settling_time_us`, `output_noise_density_nvhz`, `power_consumption_mw` (6 total)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 (superset)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`output_voltage_range`, `supply_voltage_range`, `operating_temp_range`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`reference_voltage`, `package_case`</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4. Engineering Notes</w:t>
      </w:r>
    </w:p>
    <w:p>
      <w:pPr>
        <w:pStyle w:val="Heading2"/>
        <w:spacing w:before="200" w:after="100"/>
      </w:pPr>
      <w:r>
        <w:rPr>
          <w:rFonts w:ascii="Arial" w:cs="Arial" w:eastAsia="Arial" w:hAnsi="Arial"/>
          <w:b/>
          <w:bCs/>
          <w:color w:val="1F4E79"/>
          <w:sz w:val="22"/>
          <w:szCs w:val="22"/>
        </w:rPr>
        <w:t xml:space="preserve">1. Voltage Output vs. Current Output: The First and Hardest Gate</w:t>
      </w:r>
    </w:p>
    <w:p>
      <w:pPr>
        <w:spacing w:before="60" w:after="60"/>
      </w:pPr>
      <w:r>
        <w:rPr>
          <w:rFonts w:ascii="Arial" w:cs="Arial" w:eastAsia="Arial" w:hAnsi="Arial"/>
          <w:b w:val="false"/>
          <w:bCs w:val="false"/>
          <w:i w:val="false"/>
          <w:iCs w:val="false"/>
          <w:sz w:val="20"/>
          <w:szCs w:val="20"/>
        </w:rPr>
        <w:t xml:space="preserve">Voltage-output DACs produce an output voltage proportional to the digital code, typically 0–Vref (unipolar) or ±Vref (bipolar). The output is connected to a circuit that uses voltage as its input — an op-amp, an ADC reference input, a servo amplifier, or a resistive divider.</w:t>
      </w:r>
    </w:p>
    <w:p>
      <w:pPr>
        <w:spacing w:before="60" w:after="60"/>
      </w:pPr>
      <w:r>
        <w:rPr>
          <w:rFonts w:ascii="Arial" w:cs="Arial" w:eastAsia="Arial" w:hAnsi="Arial"/>
          <w:b w:val="false"/>
          <w:bCs w:val="false"/>
          <w:i w:val="false"/>
          <w:iCs w:val="false"/>
          <w:sz w:val="20"/>
          <w:szCs w:val="20"/>
        </w:rPr>
        <w:t xml:space="preserve">Current-output DACs produce an output current proportional to the digital code. The dominant industrial standard is 4–20 mA (4 mA = zero-scale, 20 mA = full-scale), used for process control over long cable runs where voltage drop along the cable would introduce errors. Current-output DACs are designed to drive into low-impedance loads (typically 0–600Ω) and the output compliance voltage determines the maximum loop resistance.</w:t>
      </w:r>
    </w:p>
    <w:p>
      <w:pPr>
        <w:spacing w:before="60" w:after="60"/>
      </w:pPr>
      <w:r>
        <w:rPr>
          <w:rFonts w:ascii="Arial" w:cs="Arial" w:eastAsia="Arial" w:hAnsi="Arial"/>
          <w:b w:val="false"/>
          <w:bCs w:val="false"/>
          <w:i w:val="false"/>
          <w:iCs w:val="false"/>
          <w:sz w:val="20"/>
          <w:szCs w:val="20"/>
        </w:rPr>
        <w:t xml:space="preserve">These two types have no circuit overlap. A current-output DAC driving into the high-impedance input of a voltage-sensing circuit produces an incorrect result. A voltage-output DAC connected to a 4–20 mA loop has no mechanism to control the loop current. BLOCK cross-type substitutions unconditionally.</w:t>
      </w:r>
    </w:p>
    <w:p>
      <w:pPr>
        <w:pStyle w:val="Heading2"/>
        <w:spacing w:before="200" w:after="100"/>
      </w:pPr>
      <w:r>
        <w:rPr>
          <w:rFonts w:ascii="Arial" w:cs="Arial" w:eastAsia="Arial" w:hAnsi="Arial"/>
          <w:b/>
          <w:bCs/>
          <w:color w:val="1F4E79"/>
          <w:sz w:val="22"/>
          <w:szCs w:val="22"/>
        </w:rPr>
        <w:t xml:space="preserve">2. Glitch Energy: The Hidden Spec That Defines Audio and Precision DAC Quality</w:t>
      </w:r>
    </w:p>
    <w:p>
      <w:pPr>
        <w:spacing w:before="60" w:after="60"/>
      </w:pPr>
      <w:r>
        <w:rPr>
          <w:rFonts w:ascii="Arial" w:cs="Arial" w:eastAsia="Arial" w:hAnsi="Arial"/>
          <w:b w:val="false"/>
          <w:bCs w:val="false"/>
          <w:i w:val="false"/>
          <w:iCs w:val="false"/>
          <w:sz w:val="20"/>
          <w:szCs w:val="20"/>
        </w:rPr>
        <w:t xml:space="preserve">Glitch energy (nVs) is the area of the unwanted output transient that occurs at code transitions, particularly at the major carry boundary (midscale transition, where the MSB changes from 0 to 1 simultaneously with all lower bits changing from 1 to 0).</w:t>
      </w:r>
    </w:p>
    <w:p>
      <w:pPr>
        <w:spacing w:before="60" w:after="60"/>
      </w:pPr>
      <w:r>
        <w:rPr>
          <w:rFonts w:ascii="Arial" w:cs="Arial" w:eastAsia="Arial" w:hAnsi="Arial"/>
          <w:b w:val="false"/>
          <w:bCs w:val="false"/>
          <w:i w:val="false"/>
          <w:iCs w:val="false"/>
          <w:sz w:val="20"/>
          <w:szCs w:val="20"/>
        </w:rPr>
        <w:t xml:space="preserve">At midscale transition in an R-2R DAC: all bits flip simultaneously. Due to slight timing mismatches between bit transitions, the output momentarily sees incorrect intermediate codes before settling to the correct value. This produces an impulse-like glitch whose area is the glitch energy.</w:t>
      </w:r>
    </w:p>
    <w:p>
      <w:pPr>
        <w:spacing w:before="60" w:after="60"/>
      </w:pPr>
      <w:r>
        <w:rPr>
          <w:rFonts w:ascii="Arial" w:cs="Arial" w:eastAsia="Arial" w:hAnsi="Arial"/>
          <w:b w:val="false"/>
          <w:bCs w:val="false"/>
          <w:i w:val="false"/>
          <w:iCs w:val="false"/>
          <w:sz w:val="20"/>
          <w:szCs w:val="20"/>
        </w:rPr>
        <w:t xml:space="preserve">For audio DACs: glitch energy above ~10 nVs at audio frequencies (20 Hz–20 kHz) produces audible artifacts — clicks, pops, and intermodulation products. Professional audio requires glitch energy &lt; 1 nVs. Many low-cost 16-bit DACs have glitch energy of 50–200 nVs — completely unacceptable for audio.</w:t>
      </w:r>
    </w:p>
    <w:p>
      <w:pPr>
        <w:spacing w:before="60" w:after="60"/>
      </w:pPr>
      <w:r>
        <w:rPr>
          <w:rFonts w:ascii="Arial" w:cs="Arial" w:eastAsia="Arial" w:hAnsi="Arial"/>
          <w:b w:val="false"/>
          <w:bCs w:val="false"/>
          <w:i w:val="false"/>
          <w:iCs w:val="false"/>
          <w:sz w:val="20"/>
          <w:szCs w:val="20"/>
        </w:rPr>
        <w:t xml:space="preserve">For precision waveform generation: glitch energy limits the THD and SFDR of the generated waveform. At high output frequencies where the DAC cycles through midscale frequently, each glitch contributes a harmonic component to the output spectrum.</w:t>
      </w:r>
    </w:p>
    <w:p>
      <w:pPr>
        <w:spacing w:before="60" w:after="60"/>
      </w:pPr>
      <w:r>
        <w:rPr>
          <w:rFonts w:ascii="Arial" w:cs="Arial" w:eastAsia="Arial" w:hAnsi="Arial"/>
          <w:b w:val="false"/>
          <w:bCs w:val="false"/>
          <w:i w:val="false"/>
          <w:iCs w:val="false"/>
          <w:sz w:val="20"/>
          <w:szCs w:val="20"/>
        </w:rPr>
        <w:t xml:space="preserve">Glitch energy is rarely prominent in distributor parametric tables — it requires reading the full datasheet. Many substitutions that look acceptable on resolution, INL, and DNL fail on glitch energy.</w:t>
      </w:r>
    </w:p>
    <w:p>
      <w:pPr>
        <w:pStyle w:val="Heading2"/>
        <w:spacing w:before="200" w:after="100"/>
      </w:pPr>
      <w:r>
        <w:rPr>
          <w:rFonts w:ascii="Arial" w:cs="Arial" w:eastAsia="Arial" w:hAnsi="Arial"/>
          <w:b/>
          <w:bCs/>
          <w:color w:val="1F4E79"/>
          <w:sz w:val="22"/>
          <w:szCs w:val="22"/>
        </w:rPr>
        <w:t xml:space="preserve">3. Power-On Reset State: The Safety and Initialization Constraint</w:t>
      </w:r>
    </w:p>
    <w:p>
      <w:pPr>
        <w:spacing w:before="60" w:after="60"/>
      </w:pPr>
      <w:r>
        <w:rPr>
          <w:rFonts w:ascii="Arial" w:cs="Arial" w:eastAsia="Arial" w:hAnsi="Arial"/>
          <w:b w:val="false"/>
          <w:bCs w:val="false"/>
          <w:i w:val="false"/>
          <w:iCs w:val="false"/>
          <w:sz w:val="20"/>
          <w:szCs w:val="20"/>
        </w:rPr>
        <w:t xml:space="preserve">On power-up, before firmware has written any value to the DAC, the output assumes a power-on reset (POR) state determined by the DAC's internal circuitry. This state varies by device family and is not always documented prominently.</w:t>
      </w:r>
    </w:p>
    <w:p>
      <w:pPr>
        <w:spacing w:before="60" w:after="60"/>
      </w:pPr>
      <w:r>
        <w:rPr>
          <w:rFonts w:ascii="Arial" w:cs="Arial" w:eastAsia="Arial" w:hAnsi="Arial"/>
          <w:b w:val="false"/>
          <w:bCs w:val="false"/>
          <w:i w:val="false"/>
          <w:iCs w:val="false"/>
          <w:sz w:val="20"/>
          <w:szCs w:val="20"/>
        </w:rPr>
        <w:t xml:space="preserve">Common POR states: 0V (zero-scale, most common and typically safest for actuator control); midscale (Vref/2, suitable for bipolar-control applications where zero command is midscale); full-scale (Vref, rare but present in some legacy devices); high-impedance (output tri-stated, appropriate for bus-sharing applications).</w:t>
      </w:r>
    </w:p>
    <w:p>
      <w:pPr>
        <w:spacing w:before="60" w:after="60"/>
      </w:pPr>
      <w:r>
        <w:rPr>
          <w:rFonts w:ascii="Arial" w:cs="Arial" w:eastAsia="Arial" w:hAnsi="Arial"/>
          <w:b w:val="false"/>
          <w:bCs w:val="false"/>
          <w:i w:val="false"/>
          <w:iCs w:val="false"/>
          <w:sz w:val="20"/>
          <w:szCs w:val="20"/>
        </w:rPr>
        <w:t xml:space="preserve">The safety implications are direct: a DAC controlling a proportional valve powering on to midscale instead of 0V partially opens the valve before firmware initialization. A DAC driving a heating element powering on to full-scale activates the heater at 100% before temperature control firmware starts. A DAC driving a motor speed reference powering on to non-zero commands immediate motor motion.</w:t>
      </w:r>
    </w:p>
    <w:p>
      <w:pPr>
        <w:spacing w:before="60" w:after="60"/>
      </w:pPr>
      <w:r>
        <w:rPr>
          <w:rFonts w:ascii="Arial" w:cs="Arial" w:eastAsia="Arial" w:hAnsi="Arial"/>
          <w:b w:val="false"/>
          <w:bCs w:val="false"/>
          <w:i w:val="false"/>
          <w:iCs w:val="false"/>
          <w:sz w:val="20"/>
          <w:szCs w:val="20"/>
        </w:rPr>
        <w:t xml:space="preserve">When a replacement has a different POR state than the original, verify whether the downstream circuit is in a safe state during the POR window (typically microseconds to milliseconds). If unsafe, this is BLOCKING regardless of all other parameters matching.</w:t>
      </w:r>
    </w:p>
    <w:p>
      <w:pPr>
        <w:pStyle w:val="Heading2"/>
        <w:spacing w:before="200" w:after="100"/>
      </w:pPr>
      <w:r>
        <w:rPr>
          <w:rFonts w:ascii="Arial" w:cs="Arial" w:eastAsia="Arial" w:hAnsi="Arial"/>
          <w:b/>
          <w:bCs/>
          <w:color w:val="1F4E79"/>
          <w:sz w:val="22"/>
          <w:szCs w:val="22"/>
        </w:rPr>
        <w:t xml:space="preserve">4. Buffered vs. Unbuffered Output: Load Drive Capability</w:t>
      </w:r>
    </w:p>
    <w:p>
      <w:pPr>
        <w:spacing w:before="60" w:after="60"/>
      </w:pPr>
      <w:r>
        <w:rPr>
          <w:rFonts w:ascii="Arial" w:cs="Arial" w:eastAsia="Arial" w:hAnsi="Arial"/>
          <w:b w:val="false"/>
          <w:bCs w:val="false"/>
          <w:i w:val="false"/>
          <w:iCs w:val="false"/>
          <w:sz w:val="20"/>
          <w:szCs w:val="20"/>
        </w:rPr>
        <w:t xml:space="preserve">Unbuffered DACs present the output of an internal resistor string or R-2R network directly to the output pin. The output impedance is typically 5 kΩ–50 kΩ. Under any load current, the output voltage droops by (Iload × Zout). An unbuffered 12-bit DAC with 10 kΩ output impedance driving a 10 kΩ load attenuates the output by 50% — the DAC only covers half its intended range.</w:t>
      </w:r>
    </w:p>
    <w:p>
      <w:pPr>
        <w:spacing w:before="60" w:after="60"/>
      </w:pPr>
      <w:r>
        <w:rPr>
          <w:rFonts w:ascii="Arial" w:cs="Arial" w:eastAsia="Arial" w:hAnsi="Arial"/>
          <w:b w:val="false"/>
          <w:bCs w:val="false"/>
          <w:i w:val="false"/>
          <w:iCs w:val="false"/>
          <w:sz w:val="20"/>
          <w:szCs w:val="20"/>
        </w:rPr>
        <w:t xml:space="preserve">Buffered DACs include an internal output amplifier that drives the output to low impedance (typically 0.1Ω–1Ω). The buffer can source and sink current (typically 5–30 mA depending on device) and maintains accuracy independent of moderate load current.</w:t>
      </w:r>
    </w:p>
    <w:p>
      <w:pPr>
        <w:spacing w:before="60" w:after="60"/>
      </w:pPr>
      <w:r>
        <w:rPr>
          <w:rFonts w:ascii="Arial" w:cs="Arial" w:eastAsia="Arial" w:hAnsi="Arial"/>
          <w:b w:val="false"/>
          <w:bCs w:val="false"/>
          <w:i w:val="false"/>
          <w:iCs w:val="false"/>
          <w:sz w:val="20"/>
          <w:szCs w:val="20"/>
        </w:rPr>
        <w:t xml:space="preserve">If the original PCB has an external buffer op-amp downstream of an unbuffered DAC, substituting a buffered DAC is acceptable — the external buffer becomes redundant but does not cause harm. If the original has a buffered DAC with no external buffer, substituting an unbuffered DAC into a low-impedance load causes output voltage errors.</w:t>
      </w:r>
    </w:p>
    <w:p>
      <w:pPr>
        <w:pStyle w:val="Heading2"/>
        <w:spacing w:before="200" w:after="100"/>
      </w:pPr>
      <w:r>
        <w:rPr>
          <w:rFonts w:ascii="Arial" w:cs="Arial" w:eastAsia="Arial" w:hAnsi="Arial"/>
          <w:b/>
          <w:bCs/>
          <w:color w:val="1F4E79"/>
          <w:sz w:val="22"/>
          <w:szCs w:val="22"/>
        </w:rPr>
        <w:t xml:space="preserve">5. Settling Time vs. Update Rate vs. Waveform Frequency</w:t>
      </w:r>
    </w:p>
    <w:p>
      <w:pPr>
        <w:spacing w:before="60" w:after="60"/>
      </w:pPr>
      <w:r>
        <w:rPr>
          <w:rFonts w:ascii="Arial" w:cs="Arial" w:eastAsia="Arial" w:hAnsi="Arial"/>
          <w:b w:val="false"/>
          <w:bCs w:val="false"/>
          <w:i w:val="false"/>
          <w:iCs w:val="false"/>
          <w:sz w:val="20"/>
          <w:szCs w:val="20"/>
        </w:rPr>
        <w:t xml:space="preserve">These three specs are related but distinct. Update rate (samples/second) is the rate at which the DAC accepts new digital codes. Settling time is the time required for the output to reach its final value after a code change. Waveform frequency is the maximum frequency of a sinusoidal output that the DAC can produce accurately.</w:t>
      </w:r>
    </w:p>
    <w:p>
      <w:pPr>
        <w:spacing w:before="60" w:after="60"/>
      </w:pPr>
      <w:r>
        <w:rPr>
          <w:rFonts w:ascii="Arial" w:cs="Arial" w:eastAsia="Arial" w:hAnsi="Arial"/>
          <w:b w:val="false"/>
          <w:bCs w:val="false"/>
          <w:i w:val="false"/>
          <w:iCs w:val="false"/>
          <w:sz w:val="20"/>
          <w:szCs w:val="20"/>
        </w:rPr>
        <w:t xml:space="preserve">The constraint: for accurate waveform generation, settling time must be &lt;&lt; 1/update_rate. If settling time is 10 µs and update rate is 100 kSPS (10 µs period), the output is always settling and never reaches its target value — severely distorted waveform.</w:t>
      </w:r>
    </w:p>
    <w:p>
      <w:pPr>
        <w:spacing w:before="60" w:after="60"/>
      </w:pPr>
      <w:r>
        <w:rPr>
          <w:rFonts w:ascii="Arial" w:cs="Arial" w:eastAsia="Arial" w:hAnsi="Arial"/>
          <w:b w:val="false"/>
          <w:bCs w:val="false"/>
          <w:i w:val="false"/>
          <w:iCs w:val="false"/>
          <w:sz w:val="20"/>
          <w:szCs w:val="20"/>
        </w:rPr>
        <w:t xml:space="preserve">For DC accuracy applications (setting a control setpoint, calibration voltage, sensor bias): update rate is irrelevant and settling time only needs to be &lt;&lt; the control loop period. A DAC with 1 ms settling time in a 10 Hz control loop (100 ms period) is fine.</w:t>
      </w:r>
    </w:p>
    <w:p>
      <w:pPr>
        <w:spacing w:before="60" w:after="60"/>
      </w:pPr>
      <w:r>
        <w:rPr>
          <w:rFonts w:ascii="Arial" w:cs="Arial" w:eastAsia="Arial" w:hAnsi="Arial"/>
          <w:b w:val="false"/>
          <w:bCs w:val="false"/>
          <w:i w:val="false"/>
          <w:iCs w:val="false"/>
          <w:sz w:val="20"/>
          <w:szCs w:val="20"/>
        </w:rPr>
        <w:t xml:space="preserve">For audio: update rate must match the audio sample rate (44.1 kSPS, 48 kSPS, etc.) exactly. Settling time must be &lt; 1 sample period (&lt; 22 µs at 44.1 kSPS). Most audio DACs are specifically designed to meet this — verify settling time when substituting a general-purpose DAC into an audio application.</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5. Application Context Questions</w:t>
      </w:r>
    </w:p>
    <w:p>
      <w:pPr>
        <w:spacing w:before="60" w:after="60"/>
      </w:pPr>
      <w:r>
        <w:rPr>
          <w:rFonts w:ascii="Arial" w:cs="Arial" w:eastAsia="Arial" w:hAnsi="Arial"/>
          <w:b w:val="false"/>
          <w:bCs w:val="false"/>
          <w:i w:val="false"/>
          <w:iCs w:val="false"/>
          <w:sz w:val="20"/>
          <w:szCs w:val="20"/>
        </w:rPr>
        <w:t xml:space="preserve">The orchestrator asks these four questions before running the matching engine. For the full attribute effect tables see docs/application-context-attribute-map.md, section '37. DACs (Family C10)'.</w:t>
      </w:r>
    </w:p>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1 (BLOCKING): What is the DAC output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 output (output pin produces a voltage proportional to digital code)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Current-output DAC candidates BLOCKED unconditionally. output_voltage_range → mandatory + blockOnMissing. output_current_source_ma → active (load drive capability). output_buffered → active. Proceed to Q2 for resolution context, Q3 for application type.</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 output (output sources/sinks current, typically 4–20 mA industrial loop)</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Voltage-output DAC candidates BLOCKED unconditionally. output_current_source_ma → escalate_to_mandatory + blockOnMissing (full-scale current must match loop standard). output_voltage_range → not applicable. output_buffered → not applicable. Note: verify output compliance voltage covers maximum loop resistance at full current.</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2: What is the resolution / precision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≤12-bit general purpose (setpoint control, bias generation, non-precision)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thresholds apply. inl_lsb → active at ≤ 2 LSB. dnl_lsb → active at ≤ 1 LSB. glitch_energy_nVs → Application Review. settling_time_us → active at default. output_noise_density_nvhz → Application Review.</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12–16-bit precision (industrial process control, precision bias, test equipment)</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 → escalate_to_primary ≤ 1 LSB. dnl_lsb → escalate_to_primary ≤ 0.5 LSB (monotonicity). reference_type → escalate_to_primary. glitch_energy_nVs → escalate_to_primary. settling_time_us → escalate_to_primary. output_noise_density_nvhz → escalate_to_primary.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16–20-bit high precision (metrology, calibration source, high-resolution control)</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 → escalate_to_mandatory + blockOnMissing ≤ 0.5 LSB. dnl_lsb → escalate_to_mandatory ≤ 0.5 LSB. reference_type → escalate_to_mandatory. reference_voltage → escalate_to_primary. glitch_energy_nVs → escalate_to_mandatory. settling_time_us → escalate_to_mandatory. output_noise_density_nvhz → escalate_to_mandatory.</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3960"/>
      </w:tblGrid>
      <w:tr>
        <w:tc>
          <w:tcPr>
            <w:tcW w:type="dxa" w:w="2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Q2=≤12-bit</w:t>
            </w:r>
          </w:p>
        </w:tc>
        <w:tc>
          <w:tcPr>
            <w:tcW w:type="dxa" w:w="39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Q2=12–16-bit</w:t>
            </w:r>
          </w:p>
        </w:tc>
        <w:tc>
          <w:tcPr>
            <w:tcW w:type="dxa" w:w="2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Q2=16–20-bit</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2 LSB</w:t>
            </w:r>
          </w:p>
        </w:tc>
        <w:tc>
          <w:tcPr>
            <w:tcW w:type="dxa" w:w="3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 ≤ 1 LSB</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0.5 LSB</w:t>
            </w:r>
          </w:p>
        </w:tc>
      </w:tr>
      <w:tr>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`dnl_lsb`</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1 LSB</w:t>
            </w:r>
          </w:p>
        </w:tc>
        <w:tc>
          <w:tcPr>
            <w:tcW w:type="dxa" w:w="39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 ≤ 0.5 LSB</w:t>
            </w:r>
          </w:p>
        </w:tc>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0.5 LSB</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`reference_type`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w7</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3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r>
      <w:tr>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`reference_voltage`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 w5</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39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`glitch_energy_nVs`</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3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r>
      <w:tr>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`settling_time_us`</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w:t>
            </w:r>
          </w:p>
        </w:tc>
        <w:tc>
          <w:tcPr>
            <w:tcW w:type="dxa" w:w="39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`output_noise_density_nvhz`</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w6</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3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3: What is the application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Audio (waveform reproduction, D/A conversion for speakers/headphones)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glitch_energy_nVs → escalate_to_mandatory + blockOnMissing with threshold ≤ 10 nVs (professional audio). output_noise_density_nvhz → escalate_to_mandatory. update_rate_sps → escalate_to_mandatory (must match audio sample rate: 44.1/48/96/192 kSPS). settling_time_us → escalate_to_mandatory &lt; 1/update_rate. architecture → escalate_to_primary (Delta-Sigma preferred for low glitch and noise floor). thd_db equivalent review: flag current-steering architectures as App Review for glitch profile.</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Precision DC / waveform generation (calibration source, waveform generator, precision setpoint)</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 → escalate_to_mandatory. dnl_lsb → escalate_to_mandatory (monotonicity required). glitch_energy_nVs → escalate_to_primary. output_noise_density_nvhz → escalate_to_primary. settling_time_us → escalate_to_primary. reference_type → escalate_to_mandatory. power_on_reset_state → Application Review (verify safe state for the specific application).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Industrial process control (control valve, actuator drive, 4–20 mA loop)</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power_on_reset_state → escalate_to_mandatory — verify output safe state on power-up before firmware initialization. output_buffered → escalate_to_primary (must drive load without external buffer in most industrial designs). settling_time_us → escalate_to_primary for fast control loops. For 4–20 mA: output_current_source_ma already mandatory from Q1.</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Battery-powered / power-constrained</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power_consumption_mw → escalate_to_primary. High-speed or current-steering architecture candidates → add Application Review flag for power. Verify DAC power-down mode current if system uses sleep/wake cycles.</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4: Is this an automotive design (AEC-Q100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automotive (AEC-Q100 required)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escalate_to_mandatory + blockOnMissing. Non-AEC candidates removed from pool before scoring. operating_temp_range → escalate_to_mandatory covering −40°C to +125°C. power_on_reset_state → escalate_to_primary (safety-critical initialization). For body control / ADAS: inl_lsb and dnl_lsb → escalate_to_primary.</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Operational (informational weight only). Standard environmental matching.</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300"/>
        <w:gridCol w:w="2260"/>
      </w:tblGrid>
      <w:tr>
        <w:tc>
          <w:tcPr>
            <w:tcW w:type="dxa" w:w="2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3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Q4=Yes (Automotive)</w:t>
            </w:r>
          </w:p>
        </w:tc>
        <w:tc>
          <w:tcPr>
            <w:tcW w:type="dxa" w:w="22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Q4=No</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w4</w:t>
            </w:r>
          </w:p>
        </w:tc>
        <w:tc>
          <w:tcPr>
            <w:tcW w:type="dxa" w:w="3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2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 w7</w:t>
            </w:r>
          </w:p>
        </w:tc>
        <w:tc>
          <w:tcPr>
            <w:tcW w:type="dxa" w:w="3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−40°C to +125°C</w:t>
            </w:r>
          </w:p>
        </w:tc>
        <w:tc>
          <w:tcPr>
            <w:tcW w:type="dxa" w:w="22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`power_on_reset_state`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w8</w:t>
            </w:r>
          </w:p>
        </w:tc>
        <w:tc>
          <w:tcPr>
            <w:tcW w:type="dxa" w:w="3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6. Digikey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c>
          <w:tcPr>
            <w:tcW w:type="dxa" w:w="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Family</w:t>
            </w:r>
          </w:p>
        </w:tc>
        <w:tc>
          <w:tcPr>
            <w:tcW w:type="dxa" w:w="26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Digikey Category</w:t>
            </w:r>
          </w:p>
        </w:tc>
        <w:tc>
          <w:tcPr>
            <w:tcW w:type="dxa" w:w="2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Parametric Fields Present</w:t>
            </w:r>
          </w:p>
        </w:tc>
        <w:tc>
          <w:tcPr>
            <w:tcW w:type="dxa" w:w="3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Missing from Digikey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C10 (Voltage)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Acquisition — Digital to Analog Converters (DAC)</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 channels, interface, supply, update rate, package, AEC-Q100</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 energy, ENOB, output_buffered flag (sometimes), power_on_reset state, settling time (sometimes), output noise density</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C10 (Current)</w:t>
            </w:r>
          </w:p>
        </w:tc>
        <w:tc>
          <w:tcPr>
            <w:tcW w:type="dxa" w:w="26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Acquisition — DAC / Current Output</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Full-scale current, resolution, interface, supply, compliance voltage</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 energy, settling time, loop resistance spec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C10 (Audio)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Audio — DAC</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 sample rate, interface (I2S/SPI), supply, SNR, THD</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Glitch energy often not listed, output stage type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2026-03-03T01:30:00.004Z</dcterms:created>
  <dcterms:modified xsi:type="dcterms:W3CDTF">2026-03-03T01:30:00.005Z</dcterms:modified>
</cp:coreProperties>
</file>

<file path=docProps/custom.xml><?xml version="1.0" encoding="utf-8"?>
<Properties xmlns="http://schemas.openxmlformats.org/officeDocument/2006/custom-properties" xmlns:vt="http://schemas.openxmlformats.org/officeDocument/2006/docPropsVTypes"/>
</file>