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0" w:after="180"/>
      </w:pPr>
      <w:r>
        <w:rPr>
          <w:rFonts w:ascii="Arial" w:cs="Arial" w:eastAsia="Arial" w:hAnsi="Arial"/>
          <w:b/>
          <w:bCs/>
          <w:color w:val="1F4E79"/>
          <w:sz w:val="36"/>
          <w:szCs w:val="36"/>
        </w:rPr>
        <w:t xml:space="preserve">Component Replacement Logic Table</w:t>
      </w:r>
    </w:p>
    <w:p>
      <w:pPr>
        <w:spacing w:before="0" w:after="60"/>
      </w:pPr>
      <w:r>
        <w:rPr>
          <w:rFonts w:ascii="Arial" w:cs="Arial" w:eastAsia="Arial" w:hAnsi="Arial"/>
          <w:color w:val="444444"/>
          <w:sz w:val="24"/>
          <w:szCs w:val="24"/>
        </w:rPr>
        <w:t xml:space="preserve">Family C9 — Analog-to-Digital Converters (ADCs)  |  Block C: Standard ICs</w:t>
      </w:r>
    </w:p>
    <w:p>
      <w:pPr>
        <w:spacing w:before="0" w:after="240"/>
      </w:pPr>
      <w:r>
        <w:rPr>
          <w:rFonts w:ascii="Arial" w:cs="Arial" w:eastAsia="Arial" w:hAnsi="Arial"/>
          <w:i/>
          <w:iCs/>
          <w:color w:val="666666"/>
          <w:sz w:val="22"/>
          <w:szCs w:val="22"/>
        </w:rPr>
        <w:t xml:space="preserve">Context Sensitivity: High  |  20 Matching Rules</w:t>
      </w:r>
    </w:p>
    <w:p>
      <w:pPr>
        <w:pStyle w:val="Heading1"/>
        <w:spacing w:before="200" w:after="100"/>
      </w:pPr>
      <w:r>
        <w:rPr>
          <w:rFonts w:ascii="Arial" w:cs="Arial" w:eastAsia="Arial" w:hAnsi="Arial"/>
          <w:b/>
          <w:bCs/>
          <w:color w:val="1F4E79"/>
          <w:sz w:val="28"/>
          <w:szCs w:val="28"/>
        </w:rPr>
        <w:t xml:space="preserve">1. Family Overview</w:t>
      </w:r>
    </w:p>
    <w:p>
      <w:pPr>
        <w:spacing w:before="60" w:after="60"/>
      </w:pPr>
      <w:r>
        <w:rPr>
          <w:rFonts w:ascii="Arial" w:cs="Arial" w:eastAsia="Arial" w:hAnsi="Arial"/>
          <w:b w:val="false"/>
          <w:bCs w:val="false"/>
          <w:i w:val="false"/>
          <w:iCs w:val="false"/>
          <w:sz w:val="20"/>
          <w:szCs w:val="20"/>
        </w:rPr>
        <w:t xml:space="preserve">Family C9 covers precision and general-purpose Analog-to-Digital Converters. Architecture is the first and hardest gate — SAR, Delta-Sigma, Pipeline, and Flash converters are not cross-substitutable without system redesign. Within architecture, resolution class and simultaneous-sampling topology drive the most critical substitution constraints.</w:t>
      </w:r>
    </w:p>
    <w:p>
      <w:pPr>
        <w:spacing w:before="60" w:after="60"/>
      </w:pPr>
      <w:r>
        <w:rPr>
          <w:rFonts w:ascii="Arial" w:cs="Arial" w:eastAsia="Arial" w:hAnsi="Arial"/>
          <w:b w:val="false"/>
          <w:bCs w:val="false"/>
          <w:i w:val="false"/>
          <w:iCs w:val="false"/>
          <w:sz w:val="20"/>
          <w:szCs w:val="20"/>
        </w:rPr>
        <w:t xml:space="preserve">Key device examples: SAR — ADS8688 (16-bit, 8-ch), ADS7841 (12-bit, 4-ch), AD7606 (16-bit, 8-ch simultaneous), MAX11210 (24-bit). Delta-Sigma — ADS1115 (16-bit, 4-ch, I2C), ADS1256 (24-bit, 8-ch SPI), AD7175-2 (24-bit, 2-ch). Pipeline — AD9226 (12-bit, 65 MSPS), ADS5542 (14-bit, 80 MSPS). Flash — MAX1121 (8-bit, 1.5 GSPS).</w:t>
      </w:r>
    </w:p>
    <w:p>
      <w:pPr>
        <w:spacing w:before="60" w:after="60"/>
      </w:pPr>
      <w:r>
        <w:rPr>
          <w:rFonts w:ascii="Arial" w:cs="Arial" w:eastAsia="Arial" w:hAnsi="Arial"/>
          <w:b w:val="false"/>
          <w:bCs w:val="false"/>
          <w:i w:val="false"/>
          <w:iCs w:val="false"/>
          <w:sz w:val="20"/>
          <w:szCs w:val="20"/>
        </w:rPr>
        <w:t xml:space="preserve">Related Families: C6 (Voltage References — external Vref), C8 (Oscillators — ADC sample clock), C4 (Op-Amps — ADC input buffer/driver), C10 (DACs — companion converters in mixed-signal systems).</w:t>
      </w:r>
    </w:p>
    <w:p>
      <w:pPr>
        <w:spacing w:before="80" w:after="80"/>
      </w:pPr>
      <w:r>
        <w:t xml:space="preserve"/>
      </w:r>
    </w:p>
    <w:p>
      <w:pPr>
        <w:pStyle w:val="Heading1"/>
        <w:spacing w:before="200" w:after="100"/>
      </w:pPr>
      <w:r>
        <w:rPr>
          <w:rFonts w:ascii="Arial" w:cs="Arial" w:eastAsia="Arial" w:hAnsi="Arial"/>
          <w:b/>
          <w:bCs/>
          <w:color w:val="1F4E79"/>
          <w:sz w:val="28"/>
          <w:szCs w:val="28"/>
        </w:rPr>
        <w:t xml:space="preserve">2. Matching Rules — 20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1700"/>
        <w:gridCol w:w="1200"/>
        <w:gridCol w:w="460"/>
        <w:gridCol w:w="540"/>
        <w:gridCol w:w="5160"/>
      </w:tblGrid>
      <w:tr>
        <w:tc>
          <w:tcPr>
            <w:tcW w:type="dxa" w:w="30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w:t>
            </w:r>
          </w:p>
        </w:tc>
        <w:tc>
          <w:tcPr>
            <w:tcW w:type="dxa" w:w="170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Attribute</w:t>
            </w:r>
          </w:p>
        </w:tc>
        <w:tc>
          <w:tcPr>
            <w:tcW w:type="dxa" w:w="120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Rule Type</w:t>
            </w:r>
          </w:p>
        </w:tc>
        <w:tc>
          <w:tcPr>
            <w:tcW w:type="dxa" w:w="46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Weight</w:t>
            </w:r>
          </w:p>
        </w:tc>
        <w:tc>
          <w:tcPr>
            <w:tcW w:type="dxa" w:w="54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blockOn
Missing</w:t>
            </w:r>
          </w:p>
        </w:tc>
        <w:tc>
          <w:tcPr>
            <w:tcW w:type="dxa" w:w="516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Key Behavior</w:t>
            </w:r>
          </w:p>
        </w:tc>
      </w:tr>
      <w:tr>
        <w:tc>
          <w:tcPr>
            <w:tcW w:type="dxa" w:w="300"/>
            <w:gridSpan w:val="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top"/>
          </w:tcPr>
          <w:p>
            <w:r>
              <w:rPr>
                <w:rFonts w:ascii="Arial" w:cs="Arial" w:eastAsia="Arial" w:hAnsi="Arial"/>
                <w:b w:val="false"/>
                <w:bCs w:val="false"/>
                <w:color w:val="1F4E79"/>
                <w:sz w:val="18"/>
                <w:szCs w:val="18"/>
              </w:rPr>
              <w:t xml:space="preserve">SECTION 1: ARCHITECTURE &amp; INTERFACE IDENTITY</w:t>
            </w:r>
          </w:p>
        </w:tc>
      </w:tr>
      <w:tr>
        <w:tc>
          <w:tcPr>
            <w:tcW w:type="dxa" w:w="3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1</w:t>
            </w:r>
          </w:p>
        </w:tc>
        <w:tc>
          <w:tcPr>
            <w:tcW w:type="dxa" w:w="17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`architecture`</w:t>
            </w:r>
          </w:p>
        </w:tc>
        <w:tc>
          <w:tcPr>
            <w:tcW w:type="dxa" w:w="12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identity</w:t>
            </w:r>
          </w:p>
        </w:tc>
        <w:tc>
          <w:tcPr>
            <w:tcW w:type="dxa" w:w="4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10</w:t>
            </w:r>
          </w:p>
        </w:tc>
        <w:tc>
          <w:tcPr>
            <w:tcW w:type="dxa" w:w="54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yes</w:t>
            </w:r>
          </w:p>
        </w:tc>
        <w:tc>
          <w:tcPr>
            <w:tcW w:type="dxa" w:w="51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HARD GATE. SAR (Successive-Approximation Register) / Delta-Sigma / Pipeline / Flash. These architectures have fundamentally different latency, noise floor, speed, and power characteristics — substitution across types requires firmware changes and may destabilize control loops. SAR: low latency (1 cycle), 8–18 bit, 1 kSPS–5 MSPS. Delta-Sigma: high resolution (16–24 bit), high latency (decimation filter delay, 10s–100s of cycles), 1 SPS–500 kSPS. Pipeline: high speed (10–500 MSPS), 8–16 bit, several cycles pipeline delay. Flash: very high speed (&gt;500 MSPS), 6–10 bit, 1-cycle latency. Post-scoring filter removes all cross-architecture candidates before results are returned.</w:t>
            </w:r>
          </w:p>
        </w:tc>
      </w:tr>
      <w:tr>
        <w:tc>
          <w:tcPr>
            <w:tcW w:type="dxa" w:w="3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2</w:t>
            </w:r>
          </w:p>
        </w:tc>
        <w:tc>
          <w:tcPr>
            <w:tcW w:type="dxa" w:w="17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`resolution_bits`</w:t>
            </w:r>
          </w:p>
        </w:tc>
        <w:tc>
          <w:tcPr>
            <w:tcW w:type="dxa" w:w="1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identity</w:t>
            </w:r>
          </w:p>
        </w:tc>
        <w:tc>
          <w:tcPr>
            <w:tcW w:type="dxa" w:w="4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10</w:t>
            </w:r>
          </w:p>
        </w:tc>
        <w:tc>
          <w:tcPr>
            <w:tcW w:type="dxa" w:w="54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yes</w:t>
            </w:r>
          </w:p>
        </w:tc>
        <w:tc>
          <w:tcPr>
            <w:tcW w:type="dxa" w:w="51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Exact resolution match required. 12-bit ≠ 16-bit — the LSB size, noise floor, and full-scale range are all different. Parsed directly from part number where encoded (ADS8688 = 16-bit, ADS7841 = 12-bit). A higher-resolution replacement is acceptable as a parametric upgrade (flag Application Review for firmware changes to use extra bits), but a lower-resolution replacement is BLOCKED — it cannot replicate the original's measurement precision.</w:t>
            </w:r>
          </w:p>
        </w:tc>
      </w:tr>
      <w:tr>
        <w:tc>
          <w:tcPr>
            <w:tcW w:type="dxa" w:w="3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3</w:t>
            </w:r>
          </w:p>
        </w:tc>
        <w:tc>
          <w:tcPr>
            <w:tcW w:type="dxa" w:w="17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`interface_type`</w:t>
            </w:r>
          </w:p>
        </w:tc>
        <w:tc>
          <w:tcPr>
            <w:tcW w:type="dxa" w:w="12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identity</w:t>
            </w:r>
          </w:p>
        </w:tc>
        <w:tc>
          <w:tcPr>
            <w:tcW w:type="dxa" w:w="4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9</w:t>
            </w:r>
          </w:p>
        </w:tc>
        <w:tc>
          <w:tcPr>
            <w:tcW w:type="dxa" w:w="54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yes</w:t>
            </w:r>
          </w:p>
        </w:tc>
        <w:tc>
          <w:tcPr>
            <w:tcW w:type="dxa" w:w="51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SPI / I2C / Parallel / Serial LVDS / SAR-native. These require different firmware drivers, PCB routing, and in the case of parallel interface, significantly different pin counts. SPI variants differ in CPOL/CPHA mode, word length (16-bit vs. 24-bit transfers), and daisy-chain topology — not all SPI ADCs are firmware-compatible. I2C ADCs have 7-bit addresses that must not conflict with other devices on the same bus. BLOCK interface type mismatches.</w:t>
            </w:r>
          </w:p>
        </w:tc>
      </w:tr>
      <w:tr>
        <w:tc>
          <w:tcPr>
            <w:tcW w:type="dxa" w:w="3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4</w:t>
            </w:r>
          </w:p>
        </w:tc>
        <w:tc>
          <w:tcPr>
            <w:tcW w:type="dxa" w:w="17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`input_configuration`</w:t>
            </w:r>
          </w:p>
        </w:tc>
        <w:tc>
          <w:tcPr>
            <w:tcW w:type="dxa" w:w="1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identity</w:t>
            </w:r>
          </w:p>
        </w:tc>
        <w:tc>
          <w:tcPr>
            <w:tcW w:type="dxa" w:w="4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9</w:t>
            </w:r>
          </w:p>
        </w:tc>
        <w:tc>
          <w:tcPr>
            <w:tcW w:type="dxa" w:w="54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yes</w:t>
            </w:r>
          </w:p>
        </w:tc>
        <w:tc>
          <w:tcPr>
            <w:tcW w:type="dxa" w:w="51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Single-ended / Differential / Pseudo-differential. The analog front-end circuit (input amplifier, filtering, common-mode voltage setting) is designed for a specific input configuration. Differential inputs reject common-mode noise and are mandatory for precision measurements and noisy environments. Single-ended cannot substitute for differential in PCB designs with differential input traces. Pseudo-differential has a non-inverting input referenced to a low-impedance VCOM pin — not equivalent to true differential.</w:t>
            </w:r>
          </w:p>
        </w:tc>
      </w:tr>
      <w:tr>
        <w:tc>
          <w:tcPr>
            <w:tcW w:type="dxa" w:w="300"/>
            <w:gridSpan w:val="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top"/>
          </w:tcPr>
          <w:p>
            <w:r>
              <w:rPr>
                <w:rFonts w:ascii="Arial" w:cs="Arial" w:eastAsia="Arial" w:hAnsi="Arial"/>
                <w:b w:val="false"/>
                <w:bCs w:val="false"/>
                <w:color w:val="1F4E79"/>
                <w:sz w:val="18"/>
                <w:szCs w:val="18"/>
              </w:rPr>
              <w:t xml:space="preserve">SECTION 2: CHANNEL &amp; SAMPLING TOPOLOGY</w:t>
            </w:r>
          </w:p>
        </w:tc>
      </w:tr>
      <w:tr>
        <w:tc>
          <w:tcPr>
            <w:tcW w:type="dxa" w:w="3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5</w:t>
            </w:r>
          </w:p>
        </w:tc>
        <w:tc>
          <w:tcPr>
            <w:tcW w:type="dxa" w:w="17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`channel_count`</w:t>
            </w:r>
          </w:p>
        </w:tc>
        <w:tc>
          <w:tcPr>
            <w:tcW w:type="dxa" w:w="1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threshold gte</w:t>
            </w:r>
          </w:p>
        </w:tc>
        <w:tc>
          <w:tcPr>
            <w:tcW w:type="dxa" w:w="4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8</w:t>
            </w:r>
          </w:p>
        </w:tc>
        <w:tc>
          <w:tcPr>
            <w:tcW w:type="dxa" w:w="54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yes</w:t>
            </w:r>
          </w:p>
        </w:tc>
        <w:tc>
          <w:tcPr>
            <w:tcW w:type="dxa" w:w="51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Number of analog input channels. Replacement channel count must be &gt;= original. More channels acceptable (unused channels leave firmware unchanged). Fewer channels BLOCKED — cannot multiplex missing channels without hardware changes. For multi-channel ADCs: also verify channel-to-channel crosstalk spec, which is separate from single-channel SNR.</w:t>
            </w:r>
          </w:p>
        </w:tc>
      </w:tr>
      <w:tr>
        <w:tc>
          <w:tcPr>
            <w:tcW w:type="dxa" w:w="3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6</w:t>
            </w:r>
          </w:p>
        </w:tc>
        <w:tc>
          <w:tcPr>
            <w:tcW w:type="dxa" w:w="17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`simultaneous_sampling`</w:t>
            </w:r>
          </w:p>
        </w:tc>
        <w:tc>
          <w:tcPr>
            <w:tcW w:type="dxa" w:w="12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identity_flag</w:t>
            </w:r>
          </w:p>
        </w:tc>
        <w:tc>
          <w:tcPr>
            <w:tcW w:type="dxa" w:w="4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9</w:t>
            </w:r>
          </w:p>
        </w:tc>
        <w:tc>
          <w:tcPr>
            <w:tcW w:type="dxa" w:w="54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no</w:t>
            </w:r>
          </w:p>
        </w:tc>
        <w:tc>
          <w:tcPr>
            <w:tcW w:type="dxa" w:w="51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Whether all channels sample at exactly the same moment (simultaneous / sample-and-hold on all channels) vs. multiplexed (channels sampled sequentially, introducing inter-channel time skew). BLOCKING when original is simultaneous: multiplexed ADC cannot substitute in motor control (phase current measurement requires simultaneous sampling of multiple phases), power quality metering, or any application measuring phase relationships between channels. Skew introduced by multiplexing (1/fsample per channel) causes phase measurement errors proportional to signal frequency.</w:t>
            </w:r>
          </w:p>
        </w:tc>
      </w:tr>
      <w:tr>
        <w:tc>
          <w:tcPr>
            <w:tcW w:type="dxa" w:w="3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7</w:t>
            </w:r>
          </w:p>
        </w:tc>
        <w:tc>
          <w:tcPr>
            <w:tcW w:type="dxa" w:w="17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`sample_rate_sps`</w:t>
            </w:r>
          </w:p>
        </w:tc>
        <w:tc>
          <w:tcPr>
            <w:tcW w:type="dxa" w:w="1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threshold gte</w:t>
            </w:r>
          </w:p>
        </w:tc>
        <w:tc>
          <w:tcPr>
            <w:tcW w:type="dxa" w:w="4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8</w:t>
            </w:r>
          </w:p>
        </w:tc>
        <w:tc>
          <w:tcPr>
            <w:tcW w:type="dxa" w:w="54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yes</w:t>
            </w:r>
          </w:p>
        </w:tc>
        <w:tc>
          <w:tcPr>
            <w:tcW w:type="dxa" w:w="51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Maximum sample rate (samples per second). Replacement sample rate must be &gt;= original. For multi-channel multiplexed ADCs: verify throughput rate per channel (total rate / number of channels). For delta-sigma: output data rate (ODR) is the relevant spec — the oversampling rate is internal. Anti-aliasing filter cutoff frequency is implicitly set by sample rate — lower sample rate moves the Nyquist limit and may alias signals that were previously clean.</w:t>
            </w:r>
          </w:p>
        </w:tc>
      </w:tr>
      <w:tr>
        <w:tc>
          <w:tcPr>
            <w:tcW w:type="dxa" w:w="300"/>
            <w:gridSpan w:val="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top"/>
          </w:tcPr>
          <w:p>
            <w:r>
              <w:rPr>
                <w:rFonts w:ascii="Arial" w:cs="Arial" w:eastAsia="Arial" w:hAnsi="Arial"/>
                <w:b w:val="false"/>
                <w:bCs w:val="false"/>
                <w:color w:val="1F4E79"/>
                <w:sz w:val="18"/>
                <w:szCs w:val="18"/>
              </w:rPr>
              <w:t xml:space="preserve">SECTION 3: ACCURACY &amp; LINEARITY</w:t>
            </w:r>
          </w:p>
        </w:tc>
      </w:tr>
      <w:tr>
        <w:tc>
          <w:tcPr>
            <w:tcW w:type="dxa" w:w="3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8</w:t>
            </w:r>
          </w:p>
        </w:tc>
        <w:tc>
          <w:tcPr>
            <w:tcW w:type="dxa" w:w="17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`enob`</w:t>
            </w:r>
          </w:p>
        </w:tc>
        <w:tc>
          <w:tcPr>
            <w:tcW w:type="dxa" w:w="1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threshold gte</w:t>
            </w:r>
          </w:p>
        </w:tc>
        <w:tc>
          <w:tcPr>
            <w:tcW w:type="dxa" w:w="4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8</w:t>
            </w:r>
          </w:p>
        </w:tc>
        <w:tc>
          <w:tcPr>
            <w:tcW w:type="dxa" w:w="54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no</w:t>
            </w:r>
          </w:p>
        </w:tc>
        <w:tc>
          <w:tcPr>
            <w:tcW w:type="dxa" w:w="51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Effective Number Of Bits — the actual dynamic performance including noise and distortion, calculated from SNR: ENOB = (SNR − 1.76) / 6.02. A '16-bit ADC' with ENOB of 14 performs as a 14-bit converter. ENOB is the honest performance metric; resolution_bits is the nominal metric. Replacement ENOB must be &gt;= original. Escalated to primary for precision/high-resolution applications (Q2). For delta-sigma: ENOB at the specified output data rate (ODR), not at oversampling rate.</w:t>
            </w:r>
          </w:p>
        </w:tc>
      </w:tr>
      <w:tr>
        <w:tc>
          <w:tcPr>
            <w:tcW w:type="dxa" w:w="3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9</w:t>
            </w:r>
          </w:p>
        </w:tc>
        <w:tc>
          <w:tcPr>
            <w:tcW w:type="dxa" w:w="17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`inl_lsb`</w:t>
            </w:r>
          </w:p>
        </w:tc>
        <w:tc>
          <w:tcPr>
            <w:tcW w:type="dxa" w:w="12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threshold lte</w:t>
            </w:r>
          </w:p>
        </w:tc>
        <w:tc>
          <w:tcPr>
            <w:tcW w:type="dxa" w:w="4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7</w:t>
            </w:r>
          </w:p>
        </w:tc>
        <w:tc>
          <w:tcPr>
            <w:tcW w:type="dxa" w:w="54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no</w:t>
            </w:r>
          </w:p>
        </w:tc>
        <w:tc>
          <w:tcPr>
            <w:tcW w:type="dxa" w:w="51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Integral Non-Linearity (peak, in LSBs). Measures maximum deviation of the actual transfer function from a straight line. Replacement INL must be &lt;= original (equal or better linearity). INL directly causes gain error in precision measurement — an INL of ±2 LSB on a 12-bit ADC introduces a non-linear error of ±2/4096 = ±0.049% full scale. Escalated to primary for precision/instrumentation (Q2).</w:t>
            </w:r>
          </w:p>
        </w:tc>
      </w:tr>
      <w:tr>
        <w:tc>
          <w:tcPr>
            <w:tcW w:type="dxa" w:w="3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10</w:t>
            </w:r>
          </w:p>
        </w:tc>
        <w:tc>
          <w:tcPr>
            <w:tcW w:type="dxa" w:w="17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`dnl_lsb`</w:t>
            </w:r>
          </w:p>
        </w:tc>
        <w:tc>
          <w:tcPr>
            <w:tcW w:type="dxa" w:w="1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threshold lte</w:t>
            </w:r>
          </w:p>
        </w:tc>
        <w:tc>
          <w:tcPr>
            <w:tcW w:type="dxa" w:w="4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7</w:t>
            </w:r>
          </w:p>
        </w:tc>
        <w:tc>
          <w:tcPr>
            <w:tcW w:type="dxa" w:w="54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no</w:t>
            </w:r>
          </w:p>
        </w:tc>
        <w:tc>
          <w:tcPr>
            <w:tcW w:type="dxa" w:w="51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Differential Non-Linearity (peak, in LSBs). Measures step-size uniformity between adjacent codes. DNL &gt; +1 LSB causes missing codes — the ADC skips output codes, causing discontinuities in the transfer function. DNL &lt; −1 LSB causes non-monotonic behavior. Both are catastrophic for closed-loop control. Replacement DNL must be &lt;= original. Flag any replacement with DNL spec &gt; 0.5 LSB for precision applications as Application Review.</w:t>
            </w:r>
          </w:p>
        </w:tc>
      </w:tr>
      <w:tr>
        <w:tc>
          <w:tcPr>
            <w:tcW w:type="dxa" w:w="3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11</w:t>
            </w:r>
          </w:p>
        </w:tc>
        <w:tc>
          <w:tcPr>
            <w:tcW w:type="dxa" w:w="17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`thd_db`</w:t>
            </w:r>
          </w:p>
        </w:tc>
        <w:tc>
          <w:tcPr>
            <w:tcW w:type="dxa" w:w="12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threshold lte</w:t>
            </w:r>
          </w:p>
        </w:tc>
        <w:tc>
          <w:tcPr>
            <w:tcW w:type="dxa" w:w="4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6</w:t>
            </w:r>
          </w:p>
        </w:tc>
        <w:tc>
          <w:tcPr>
            <w:tcW w:type="dxa" w:w="54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no</w:t>
            </w:r>
          </w:p>
        </w:tc>
        <w:tc>
          <w:tcPr>
            <w:tcW w:type="dxa" w:w="51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Total Harmonic Distortion (dBc, typically measured at full scale). More negative = lower distortion = better. Replacement THD must be &lt;= original (more negative or equal). Critical for audio ADCs (THD &gt; −80 dBc is audible at line level), industrial signal analyzers, and power quality meters. THD is often not the limiting spec for DC-accurate measurement applications but dominates for AC-coupled signal acquisition.</w:t>
            </w:r>
          </w:p>
        </w:tc>
      </w:tr>
      <w:tr>
        <w:tc>
          <w:tcPr>
            <w:tcW w:type="dxa" w:w="300"/>
            <w:gridSpan w:val="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top"/>
          </w:tcPr>
          <w:p>
            <w:r>
              <w:rPr>
                <w:rFonts w:ascii="Arial" w:cs="Arial" w:eastAsia="Arial" w:hAnsi="Arial"/>
                <w:b w:val="false"/>
                <w:bCs w:val="false"/>
                <w:color w:val="1F4E79"/>
                <w:sz w:val="18"/>
                <w:szCs w:val="18"/>
              </w:rPr>
              <w:t xml:space="preserve">SECTION 4: REFERENCE &amp; INPUT</w:t>
            </w:r>
          </w:p>
        </w:tc>
      </w:tr>
      <w:tr>
        <w:tc>
          <w:tcPr>
            <w:tcW w:type="dxa" w:w="3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12</w:t>
            </w:r>
          </w:p>
        </w:tc>
        <w:tc>
          <w:tcPr>
            <w:tcW w:type="dxa" w:w="17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`reference_type`</w:t>
            </w:r>
          </w:p>
        </w:tc>
        <w:tc>
          <w:tcPr>
            <w:tcW w:type="dxa" w:w="12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identity_flag</w:t>
            </w:r>
          </w:p>
        </w:tc>
        <w:tc>
          <w:tcPr>
            <w:tcW w:type="dxa" w:w="4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7</w:t>
            </w:r>
          </w:p>
        </w:tc>
        <w:tc>
          <w:tcPr>
            <w:tcW w:type="dxa" w:w="54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no</w:t>
            </w:r>
          </w:p>
        </w:tc>
        <w:tc>
          <w:tcPr>
            <w:tcW w:type="dxa" w:w="51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Internal reference only / External reference only / Both (internal with external override). If the original PCB has an external precision voltage reference connected to the ADC's Vref pin, the replacement must accept an external reference. If original uses internal reference (no external reference circuit on PCB), a replacement with external-reference-only is BLOCKED (no Vref circuit exists). Escalated to mandatory when external reference is confirmed in use.</w:t>
            </w:r>
          </w:p>
        </w:tc>
      </w:tr>
      <w:tr>
        <w:tc>
          <w:tcPr>
            <w:tcW w:type="dxa" w:w="3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13</w:t>
            </w:r>
          </w:p>
        </w:tc>
        <w:tc>
          <w:tcPr>
            <w:tcW w:type="dxa" w:w="17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`reference_voltage`</w:t>
            </w:r>
          </w:p>
        </w:tc>
        <w:tc>
          <w:tcPr>
            <w:tcW w:type="dxa" w:w="1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application_review</w:t>
            </w:r>
          </w:p>
        </w:tc>
        <w:tc>
          <w:tcPr>
            <w:tcW w:type="dxa" w:w="4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5</w:t>
            </w:r>
          </w:p>
        </w:tc>
        <w:tc>
          <w:tcPr>
            <w:tcW w:type="dxa" w:w="54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no</w:t>
            </w:r>
          </w:p>
        </w:tc>
        <w:tc>
          <w:tcPr>
            <w:tcW w:type="dxa" w:w="51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Internal reference voltage (V). If original uses internal reference, replacement internal Vref must match — different Vref changes LSB size (1 LSB = Vref / 2^N) and shifts full-scale range. Example: 2.5V reference on 12-bit ADC gives 1 LSB = 610 µV; 3.3V reference gives 1 LSB = 806 µV. Calibration in firmware may compensate, but flag as Application Review. For external reference: the external reference voltage is determined by the PCB circuit, not the ADC — verify ADC input reference range accepts the external voltage.</w:t>
            </w:r>
          </w:p>
        </w:tc>
      </w:tr>
      <w:tr>
        <w:tc>
          <w:tcPr>
            <w:tcW w:type="dxa" w:w="3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14</w:t>
            </w:r>
          </w:p>
        </w:tc>
        <w:tc>
          <w:tcPr>
            <w:tcW w:type="dxa" w:w="17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`input_voltage_range`</w:t>
            </w:r>
          </w:p>
        </w:tc>
        <w:tc>
          <w:tcPr>
            <w:tcW w:type="dxa" w:w="12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threshold superset</w:t>
            </w:r>
          </w:p>
        </w:tc>
        <w:tc>
          <w:tcPr>
            <w:tcW w:type="dxa" w:w="4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7</w:t>
            </w:r>
          </w:p>
        </w:tc>
        <w:tc>
          <w:tcPr>
            <w:tcW w:type="dxa" w:w="54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no</w:t>
            </w:r>
          </w:p>
        </w:tc>
        <w:tc>
          <w:tcPr>
            <w:tcW w:type="dxa" w:w="51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Full-scale analog input voltage range (V, peak-to-peak or ±). Replacement input range must contain the signal range present on the board. A 0–5V input range ADC cannot substitute for a ±10V input range ADC. Undersized input range causes clipping and severe distortion on signals that were within the original's range. For unipolar vs. bipolar: unipolar (0 to Vref) cannot substitute for bipolar (−Vref/2 to +Vref/2) without analog front-end modification.</w:t>
            </w:r>
          </w:p>
        </w:tc>
      </w:tr>
      <w:tr>
        <w:tc>
          <w:tcPr>
            <w:tcW w:type="dxa" w:w="3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15</w:t>
            </w:r>
          </w:p>
        </w:tc>
        <w:tc>
          <w:tcPr>
            <w:tcW w:type="dxa" w:w="17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`conversion_latency_cycles`</w:t>
            </w:r>
          </w:p>
        </w:tc>
        <w:tc>
          <w:tcPr>
            <w:tcW w:type="dxa" w:w="1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threshold lte</w:t>
            </w:r>
          </w:p>
        </w:tc>
        <w:tc>
          <w:tcPr>
            <w:tcW w:type="dxa" w:w="4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6</w:t>
            </w:r>
          </w:p>
        </w:tc>
        <w:tc>
          <w:tcPr>
            <w:tcW w:type="dxa" w:w="54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no</w:t>
            </w:r>
          </w:p>
        </w:tc>
        <w:tc>
          <w:tcPr>
            <w:tcW w:type="dxa" w:w="51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Number of clock or conversion cycles from conversion start to valid output data. For SAR: typically 1 conversion cycle (low latency). For delta-sigma: many cycles (decimation filter group delay, typically ODR × filter_order cycles). For pipeline: several clock cycles (pipeline stages). Critical for closed-loop control systems — extra latency reduces phase margin. At 1 kHz control loop bandwidth, each millisecond of additional latency consumes ~3.6° of phase margin. Escalated to primary for control loop applications (Q3).</w:t>
            </w:r>
          </w:p>
        </w:tc>
      </w:tr>
      <w:tr>
        <w:tc>
          <w:tcPr>
            <w:tcW w:type="dxa" w:w="300"/>
            <w:gridSpan w:val="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top"/>
          </w:tcPr>
          <w:p>
            <w:r>
              <w:rPr>
                <w:rFonts w:ascii="Arial" w:cs="Arial" w:eastAsia="Arial" w:hAnsi="Arial"/>
                <w:b w:val="false"/>
                <w:bCs w:val="false"/>
                <w:color w:val="1F4E79"/>
                <w:sz w:val="18"/>
                <w:szCs w:val="18"/>
              </w:rPr>
              <w:t xml:space="preserve">SECTION 5: POWER &amp; SUPPLY</w:t>
            </w:r>
          </w:p>
        </w:tc>
      </w:tr>
      <w:tr>
        <w:tc>
          <w:tcPr>
            <w:tcW w:type="dxa" w:w="3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16</w:t>
            </w:r>
          </w:p>
        </w:tc>
        <w:tc>
          <w:tcPr>
            <w:tcW w:type="dxa" w:w="17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`supply_voltage_range`</w:t>
            </w:r>
          </w:p>
        </w:tc>
        <w:tc>
          <w:tcPr>
            <w:tcW w:type="dxa" w:w="1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threshold superset</w:t>
            </w:r>
          </w:p>
        </w:tc>
        <w:tc>
          <w:tcPr>
            <w:tcW w:type="dxa" w:w="4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7</w:t>
            </w:r>
          </w:p>
        </w:tc>
        <w:tc>
          <w:tcPr>
            <w:tcW w:type="dxa" w:w="54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yes</w:t>
            </w:r>
          </w:p>
        </w:tc>
        <w:tc>
          <w:tcPr>
            <w:tcW w:type="dxa" w:w="51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Analog and digital supply voltage ranges. Must contain actual board supply voltages. Many precision ADCs have separate AVDD (analog) and DVDD (digital) supplies — verify both. Mixed-voltage boards (3.3V digital, 5V analog) require careful verification. Some ADCs support single-supply operation; others require split supply (±5V or ±15V) for wide input range.</w:t>
            </w:r>
          </w:p>
        </w:tc>
      </w:tr>
      <w:tr>
        <w:tc>
          <w:tcPr>
            <w:tcW w:type="dxa" w:w="3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17</w:t>
            </w:r>
          </w:p>
        </w:tc>
        <w:tc>
          <w:tcPr>
            <w:tcW w:type="dxa" w:w="17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`power_consumption_mw`</w:t>
            </w:r>
          </w:p>
        </w:tc>
        <w:tc>
          <w:tcPr>
            <w:tcW w:type="dxa" w:w="12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threshold lte</w:t>
            </w:r>
          </w:p>
        </w:tc>
        <w:tc>
          <w:tcPr>
            <w:tcW w:type="dxa" w:w="4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5</w:t>
            </w:r>
          </w:p>
        </w:tc>
        <w:tc>
          <w:tcPr>
            <w:tcW w:type="dxa" w:w="54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no</w:t>
            </w:r>
          </w:p>
        </w:tc>
        <w:tc>
          <w:tcPr>
            <w:tcW w:type="dxa" w:w="51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Total supply current × supply voltage (mW). Escalated to primary for battery-powered or thermally constrained designs (Q3). High-speed pipeline ADCs: 100–500mW. Precision delta-sigma: 1–50mW. SAR at low sample rates: &lt;1mW. Power consumption also affects self-heating and thus thermal drift of the ADC's internal reference.</w:t>
            </w:r>
          </w:p>
        </w:tc>
      </w:tr>
      <w:tr>
        <w:tc>
          <w:tcPr>
            <w:tcW w:type="dxa" w:w="300"/>
            <w:gridSpan w:val="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top"/>
          </w:tcPr>
          <w:p>
            <w:r>
              <w:rPr>
                <w:rFonts w:ascii="Arial" w:cs="Arial" w:eastAsia="Arial" w:hAnsi="Arial"/>
                <w:b w:val="false"/>
                <w:bCs w:val="false"/>
                <w:color w:val="1F4E79"/>
                <w:sz w:val="18"/>
                <w:szCs w:val="18"/>
              </w:rPr>
              <w:t xml:space="preserve">SECTION 6: QUALIFICATION &amp; PACKAGE</w:t>
            </w:r>
          </w:p>
        </w:tc>
      </w:tr>
      <w:tr>
        <w:tc>
          <w:tcPr>
            <w:tcW w:type="dxa" w:w="3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18</w:t>
            </w:r>
          </w:p>
        </w:tc>
        <w:tc>
          <w:tcPr>
            <w:tcW w:type="dxa" w:w="17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`operating_temp_range`</w:t>
            </w:r>
          </w:p>
        </w:tc>
        <w:tc>
          <w:tcPr>
            <w:tcW w:type="dxa" w:w="12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threshold superset</w:t>
            </w:r>
          </w:p>
        </w:tc>
        <w:tc>
          <w:tcPr>
            <w:tcW w:type="dxa" w:w="4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7</w:t>
            </w:r>
          </w:p>
        </w:tc>
        <w:tc>
          <w:tcPr>
            <w:tcW w:type="dxa" w:w="54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yes</w:t>
            </w:r>
          </w:p>
        </w:tc>
        <w:tc>
          <w:tcPr>
            <w:tcW w:type="dxa" w:w="51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Replacement must fully cover the application operating range. Commercial: 0°C to +70°C. Industrial: −40°C to +85°C. Automotive: −40°C to +105°C or +125°C. Note: ADC accuracy specs (INL, offset, gain error) are temperature-dependent — verify the accuracy spec is maintained over the full temperature range, not just at +25°C.</w:t>
            </w:r>
          </w:p>
        </w:tc>
      </w:tr>
      <w:tr>
        <w:tc>
          <w:tcPr>
            <w:tcW w:type="dxa" w:w="3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19</w:t>
            </w:r>
          </w:p>
        </w:tc>
        <w:tc>
          <w:tcPr>
            <w:tcW w:type="dxa" w:w="17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`aec_q100`</w:t>
            </w:r>
          </w:p>
        </w:tc>
        <w:tc>
          <w:tcPr>
            <w:tcW w:type="dxa" w:w="1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identity_flag</w:t>
            </w:r>
          </w:p>
        </w:tc>
        <w:tc>
          <w:tcPr>
            <w:tcW w:type="dxa" w:w="4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4</w:t>
            </w:r>
          </w:p>
        </w:tc>
        <w:tc>
          <w:tcPr>
            <w:tcW w:type="dxa" w:w="54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no</w:t>
            </w:r>
          </w:p>
        </w:tc>
        <w:tc>
          <w:tcPr>
            <w:tcW w:type="dxa" w:w="51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Escalated to mandatory + blockOnMissing for automotive (Q4). AEC-Q100 Grade 1 required for ADCs in ECU, ADAS sensor fusion, battery management systems, and motor control. Non-automotive parts BLOCKED from automotive designs regardless of electrical match.</w:t>
            </w:r>
          </w:p>
        </w:tc>
      </w:tr>
      <w:tr>
        <w:tc>
          <w:tcPr>
            <w:tcW w:type="dxa" w:w="3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20</w:t>
            </w:r>
          </w:p>
        </w:tc>
        <w:tc>
          <w:tcPr>
            <w:tcW w:type="dxa" w:w="17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`package_case`</w:t>
            </w:r>
          </w:p>
        </w:tc>
        <w:tc>
          <w:tcPr>
            <w:tcW w:type="dxa" w:w="12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application_review</w:t>
            </w:r>
          </w:p>
        </w:tc>
        <w:tc>
          <w:tcPr>
            <w:tcW w:type="dxa" w:w="4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5</w:t>
            </w:r>
          </w:p>
        </w:tc>
        <w:tc>
          <w:tcPr>
            <w:tcW w:type="dxa" w:w="54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no</w:t>
            </w:r>
          </w:p>
        </w:tc>
        <w:tc>
          <w:tcPr>
            <w:tcW w:type="dxa" w:w="51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TSSOP-16, MSOP-10, QFN-32, etc. Precision ADCs often have exposed pad or guard-ring requirements that affect PCB layout. High-speed ADCs in QFN/BGA require controlled impedance routing to differential inputs. Package change is Application Review — verify footprint, exposed pad thermal connection, and any layout-sensitive pin assignments (AGND vs. DGND separation).</w:t>
            </w:r>
          </w:p>
        </w:tc>
      </w:tr>
    </w:tbl>
    <w:p>
      <w:pPr>
        <w:spacing w:before="80" w:after="80"/>
      </w:pPr>
      <w:r>
        <w:t xml:space="preserve"/>
      </w:r>
    </w:p>
    <w:p>
      <w:pPr>
        <w:pStyle w:val="Heading1"/>
        <w:spacing w:before="200" w:after="100"/>
      </w:pPr>
      <w:r>
        <w:rPr>
          <w:rFonts w:ascii="Arial" w:cs="Arial" w:eastAsia="Arial" w:hAnsi="Arial"/>
          <w:b/>
          <w:bCs/>
          <w:color w:val="1F4E79"/>
          <w:sz w:val="28"/>
          <w:szCs w:val="28"/>
        </w:rPr>
        <w:t xml:space="preserve">3. Logic Type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460"/>
      </w:tblGrid>
      <w:tr>
        <w:tc>
          <w:tcPr>
            <w:tcW w:type="dxa" w:w="240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Rule Type</w:t>
            </w:r>
          </w:p>
        </w:tc>
        <w:tc>
          <w:tcPr>
            <w:tcW w:type="dxa" w:w="150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Count</w:t>
            </w:r>
          </w:p>
        </w:tc>
        <w:tc>
          <w:tcPr>
            <w:tcW w:type="dxa" w:w="546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Attributes</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Identity (Hard Gate)</w:t>
            </w:r>
          </w:p>
        </w:tc>
        <w:tc>
          <w:tcPr>
            <w:tcW w:type="dxa" w:w="1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4</w:t>
            </w:r>
          </w:p>
        </w:tc>
        <w:tc>
          <w:tcPr>
            <w:tcW w:type="dxa" w:w="54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`architecture`, `resolution_bits`, `interface_type`, `input_configuration`</w:t>
            </w:r>
          </w:p>
        </w:tc>
      </w:tr>
      <w:tr>
        <w:tc>
          <w:tcPr>
            <w:tcW w:type="dxa" w:w="24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Identity Flag</w:t>
            </w:r>
          </w:p>
        </w:tc>
        <w:tc>
          <w:tcPr>
            <w:tcW w:type="dxa" w:w="15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3</w:t>
            </w:r>
          </w:p>
        </w:tc>
        <w:tc>
          <w:tcPr>
            <w:tcW w:type="dxa" w:w="54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`simultaneous_sampling`, `reference_type`, `aec_q100`</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Threshold ≥</w:t>
            </w:r>
          </w:p>
        </w:tc>
        <w:tc>
          <w:tcPr>
            <w:tcW w:type="dxa" w:w="1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3</w:t>
            </w:r>
          </w:p>
        </w:tc>
        <w:tc>
          <w:tcPr>
            <w:tcW w:type="dxa" w:w="54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`channel_count`, `sample_rate_sps`, `enob`</w:t>
            </w:r>
          </w:p>
        </w:tc>
      </w:tr>
      <w:tr>
        <w:tc>
          <w:tcPr>
            <w:tcW w:type="dxa" w:w="24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Threshold ≤</w:t>
            </w:r>
          </w:p>
        </w:tc>
        <w:tc>
          <w:tcPr>
            <w:tcW w:type="dxa" w:w="15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5</w:t>
            </w:r>
          </w:p>
        </w:tc>
        <w:tc>
          <w:tcPr>
            <w:tcW w:type="dxa" w:w="54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`inl_lsb`, `dnl_lsb`, `thd_db`, `conversion_latency_cycles`, `power_consumption_mw`</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Threshold ⊇ (superset)</w:t>
            </w:r>
          </w:p>
        </w:tc>
        <w:tc>
          <w:tcPr>
            <w:tcW w:type="dxa" w:w="1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3</w:t>
            </w:r>
          </w:p>
        </w:tc>
        <w:tc>
          <w:tcPr>
            <w:tcW w:type="dxa" w:w="54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`input_voltage_range`, `supply_voltage_range`, `operating_temp_range`</w:t>
            </w:r>
          </w:p>
        </w:tc>
      </w:tr>
      <w:tr>
        <w:tc>
          <w:tcPr>
            <w:tcW w:type="dxa" w:w="24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Application Review</w:t>
            </w:r>
          </w:p>
        </w:tc>
        <w:tc>
          <w:tcPr>
            <w:tcW w:type="dxa" w:w="15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2</w:t>
            </w:r>
          </w:p>
        </w:tc>
        <w:tc>
          <w:tcPr>
            <w:tcW w:type="dxa" w:w="54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`reference_voltage`, `package_case`</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Operational</w:t>
            </w:r>
          </w:p>
        </w:tc>
        <w:tc>
          <w:tcPr>
            <w:tcW w:type="dxa" w:w="1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0</w:t>
            </w:r>
          </w:p>
        </w:tc>
        <w:tc>
          <w:tcPr>
            <w:tcW w:type="dxa" w:w="54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(packaging_format not listed — add if needed)</w:t>
            </w:r>
          </w:p>
        </w:tc>
      </w:tr>
    </w:tbl>
    <w:p>
      <w:pPr>
        <w:spacing w:before="80" w:after="80"/>
      </w:pPr>
      <w:r>
        <w:t xml:space="preserve"/>
      </w:r>
    </w:p>
    <w:p>
      <w:pPr>
        <w:pStyle w:val="Heading1"/>
        <w:spacing w:before="200" w:after="100"/>
      </w:pPr>
      <w:r>
        <w:rPr>
          <w:rFonts w:ascii="Arial" w:cs="Arial" w:eastAsia="Arial" w:hAnsi="Arial"/>
          <w:b/>
          <w:bCs/>
          <w:color w:val="1F4E79"/>
          <w:sz w:val="28"/>
          <w:szCs w:val="28"/>
        </w:rPr>
        <w:t xml:space="preserve">4. Engineering Notes</w:t>
      </w:r>
    </w:p>
    <w:p>
      <w:pPr>
        <w:pStyle w:val="Heading2"/>
        <w:spacing w:before="200" w:after="100"/>
      </w:pPr>
      <w:r>
        <w:rPr>
          <w:rFonts w:ascii="Arial" w:cs="Arial" w:eastAsia="Arial" w:hAnsi="Arial"/>
          <w:b/>
          <w:bCs/>
          <w:color w:val="1F4E79"/>
          <w:sz w:val="22"/>
          <w:szCs w:val="22"/>
        </w:rPr>
        <w:t xml:space="preserve">1. SAR vs. Delta-Sigma vs. Pipeline: Why Architecture Is a Hard Gate</w:t>
      </w:r>
    </w:p>
    <w:p>
      <w:pPr>
        <w:spacing w:before="60" w:after="60"/>
      </w:pPr>
      <w:r>
        <w:rPr>
          <w:rFonts w:ascii="Arial" w:cs="Arial" w:eastAsia="Arial" w:hAnsi="Arial"/>
          <w:b w:val="false"/>
          <w:bCs w:val="false"/>
          <w:i w:val="false"/>
          <w:iCs w:val="false"/>
          <w:sz w:val="20"/>
          <w:szCs w:val="20"/>
        </w:rPr>
        <w:t xml:space="preserve">The three dominant ADC architectures serve fundamentally different applications and cannot substitute for one another without system redesign.</w:t>
      </w:r>
    </w:p>
    <w:p>
      <w:pPr>
        <w:spacing w:before="60" w:after="60"/>
      </w:pPr>
      <w:r>
        <w:rPr>
          <w:rFonts w:ascii="Arial" w:cs="Arial" w:eastAsia="Arial" w:hAnsi="Arial"/>
          <w:b w:val="false"/>
          <w:bCs w:val="false"/>
          <w:i w:val="false"/>
          <w:iCs w:val="false"/>
          <w:sz w:val="20"/>
          <w:szCs w:val="20"/>
        </w:rPr>
        <w:t xml:space="preserve">SAR (Successive-Approximation Register): Converts one sample at a time using a binary search algorithm. Latency is 1 conversion cycle — the output is valid N clock cycles after conversion starts (where N = resolution bits). Sample rates typically 1 kSPS to 5 MSPS. Resolution 8–18 bits. No pipeline delay. Ideal for: multiplexed multi-channel acquisition, control loops requiring low latency, medium-speed precision measurement.</w:t>
      </w:r>
    </w:p>
    <w:p>
      <w:pPr>
        <w:spacing w:before="60" w:after="60"/>
      </w:pPr>
      <w:r>
        <w:rPr>
          <w:rFonts w:ascii="Arial" w:cs="Arial" w:eastAsia="Arial" w:hAnsi="Arial"/>
          <w:b w:val="false"/>
          <w:bCs w:val="false"/>
          <w:i w:val="false"/>
          <w:iCs w:val="false"/>
          <w:sz w:val="20"/>
          <w:szCs w:val="20"/>
        </w:rPr>
        <w:t xml:space="preserve">Delta-Sigma: Oversamples the input at a very high rate (64× to 4096× oversampling) and uses a decimation filter to produce high-resolution output at a much lower output data rate (ODR). Resolution 16–32 bits. Latency is the decimation filter group delay — typically (filter_order × decimation_ratio) / ODR, which can be 10s to 100s of milliseconds at low ODR settings. Ideal for: weight scales, thermocouple measurement, precision DC measurement, audio. Fatal in fast control loops due to latency.</w:t>
      </w:r>
    </w:p>
    <w:p>
      <w:pPr>
        <w:spacing w:before="60" w:after="60"/>
      </w:pPr>
      <w:r>
        <w:rPr>
          <w:rFonts w:ascii="Arial" w:cs="Arial" w:eastAsia="Arial" w:hAnsi="Arial"/>
          <w:b w:val="false"/>
          <w:bCs w:val="false"/>
          <w:i w:val="false"/>
          <w:iCs w:val="false"/>
          <w:sz w:val="20"/>
          <w:szCs w:val="20"/>
        </w:rPr>
        <w:t xml:space="preserve">Pipeline: Processes multiple samples simultaneously through pipeline stages, achieving very high throughput (10–500 MSPS) with moderate resolution (8–16 bits) at the cost of pipeline latency (several clock cycles). Output data is valid several clock cycles after the sample was taken. Ideal for: oscilloscopes, communications receivers, imaging. Cannot substitute for SAR in low-speed precision applications.</w:t>
      </w:r>
    </w:p>
    <w:p>
      <w:pPr>
        <w:spacing w:before="60" w:after="60"/>
      </w:pPr>
      <w:r>
        <w:rPr>
          <w:rFonts w:ascii="Arial" w:cs="Arial" w:eastAsia="Arial" w:hAnsi="Arial"/>
          <w:b w:val="false"/>
          <w:bCs w:val="false"/>
          <w:i w:val="false"/>
          <w:iCs w:val="false"/>
          <w:sz w:val="20"/>
          <w:szCs w:val="20"/>
        </w:rPr>
        <w:t xml:space="preserve">The firmware impact of changing architectures is always significant: different conversion timing, different data register structure, different latency handling. Architecture changes require engineering review even when all electrical parameters match.</w:t>
      </w:r>
    </w:p>
    <w:p>
      <w:pPr>
        <w:pStyle w:val="Heading2"/>
        <w:spacing w:before="200" w:after="100"/>
      </w:pPr>
      <w:r>
        <w:rPr>
          <w:rFonts w:ascii="Arial" w:cs="Arial" w:eastAsia="Arial" w:hAnsi="Arial"/>
          <w:b/>
          <w:bCs/>
          <w:color w:val="1F4E79"/>
          <w:sz w:val="22"/>
          <w:szCs w:val="22"/>
        </w:rPr>
        <w:t xml:space="preserve">2. ENOB vs. Resolution: Why '16-bit' Doesn't Mean 16-Bit Performance</w:t>
      </w:r>
    </w:p>
    <w:p>
      <w:pPr>
        <w:spacing w:before="60" w:after="60"/>
      </w:pPr>
      <w:r>
        <w:rPr>
          <w:rFonts w:ascii="Arial" w:cs="Arial" w:eastAsia="Arial" w:hAnsi="Arial"/>
          <w:b w:val="false"/>
          <w:bCs w:val="false"/>
          <w:i w:val="false"/>
          <w:iCs w:val="false"/>
          <w:sz w:val="20"/>
          <w:szCs w:val="20"/>
        </w:rPr>
        <w:t xml:space="preserve">Resolution (bits) is the nominal specification — it describes the converter's output word length and theoretical precision. ENOB (Effective Number Of Bits) is the measured dynamic performance and is always lower than the nominal resolution.</w:t>
      </w:r>
    </w:p>
    <w:p>
      <w:pPr>
        <w:spacing w:before="60" w:after="60"/>
      </w:pPr>
      <w:r>
        <w:rPr>
          <w:rFonts w:ascii="Arial" w:cs="Arial" w:eastAsia="Arial" w:hAnsi="Arial"/>
          <w:b w:val="false"/>
          <w:bCs w:val="false"/>
          <w:i w:val="false"/>
          <w:iCs w:val="false"/>
          <w:sz w:val="20"/>
          <w:szCs w:val="20"/>
        </w:rPr>
        <w:t xml:space="preserve">The relationship: ENOB = (SNR − 1.76 dB) / 6.02. An ideal 16-bit ADC has ENOB = 16 and SNR = 98 dB. Real 16-bit ADCs typically achieve ENOB of 13.5–15.5 depending on architecture and sample rate.</w:t>
      </w:r>
    </w:p>
    <w:p>
      <w:pPr>
        <w:spacing w:before="60" w:after="60"/>
      </w:pPr>
      <w:r>
        <w:rPr>
          <w:rFonts w:ascii="Arial" w:cs="Arial" w:eastAsia="Arial" w:hAnsi="Arial"/>
          <w:b w:val="false"/>
          <w:bCs w:val="false"/>
          <w:i w:val="false"/>
          <w:iCs w:val="false"/>
          <w:sz w:val="20"/>
          <w:szCs w:val="20"/>
        </w:rPr>
        <w:t xml:space="preserve">Substituting one '16-bit ADC' for another 16-bit ADC with lower ENOB degrades measurement precision by the difference in effective bits. Going from ENOB 15 to ENOB 13.5 loses 1.5 bits of precision — the equivalent of a 14-bit ADC. In a weight scale calibrated for 16-bit precision, this shows up as increased noise floor and reduced repeatability.</w:t>
      </w:r>
    </w:p>
    <w:p>
      <w:pPr>
        <w:spacing w:before="60" w:after="60"/>
      </w:pPr>
      <w:r>
        <w:rPr>
          <w:rFonts w:ascii="Arial" w:cs="Arial" w:eastAsia="Arial" w:hAnsi="Arial"/>
          <w:b w:val="false"/>
          <w:bCs w:val="false"/>
          <w:i w:val="false"/>
          <w:iCs w:val="false"/>
          <w:sz w:val="20"/>
          <w:szCs w:val="20"/>
        </w:rPr>
        <w:t xml:space="preserve">For delta-sigma ADCs: ENOB must be evaluated at the actual output data rate (ODR) used in the application. Delta-sigma ENOB decreases as ODR increases — a 24-bit delta-sigma running at 1 kSPS may have ENOB of 20, but at 64 kSPS ENOB drops to 16. Verify ENOB at the application's ODR, not at the lowest possible ODR.</w:t>
      </w:r>
    </w:p>
    <w:p>
      <w:pPr>
        <w:pStyle w:val="Heading2"/>
        <w:spacing w:before="200" w:after="100"/>
      </w:pPr>
      <w:r>
        <w:rPr>
          <w:rFonts w:ascii="Arial" w:cs="Arial" w:eastAsia="Arial" w:hAnsi="Arial"/>
          <w:b/>
          <w:bCs/>
          <w:color w:val="1F4E79"/>
          <w:sz w:val="22"/>
          <w:szCs w:val="22"/>
        </w:rPr>
        <w:t xml:space="preserve">3. Simultaneous Sampling: The Multi-Channel Phase Measurement Hard Gate</w:t>
      </w:r>
    </w:p>
    <w:p>
      <w:pPr>
        <w:spacing w:before="60" w:after="60"/>
      </w:pPr>
      <w:r>
        <w:rPr>
          <w:rFonts w:ascii="Arial" w:cs="Arial" w:eastAsia="Arial" w:hAnsi="Arial"/>
          <w:b w:val="false"/>
          <w:bCs w:val="false"/>
          <w:i w:val="false"/>
          <w:iCs w:val="false"/>
          <w:sz w:val="20"/>
          <w:szCs w:val="20"/>
        </w:rPr>
        <w:t xml:space="preserve">Multi-channel ADCs come in two fundamentally different topologies: simultaneous sampling (all channels have independent sample-and-hold circuits that capture simultaneously) and multiplexed (a single ADC core is switched between channels sequentially).</w:t>
      </w:r>
    </w:p>
    <w:p>
      <w:pPr>
        <w:spacing w:before="60" w:after="60"/>
      </w:pPr>
      <w:r>
        <w:rPr>
          <w:rFonts w:ascii="Arial" w:cs="Arial" w:eastAsia="Arial" w:hAnsi="Arial"/>
          <w:b w:val="false"/>
          <w:bCs w:val="false"/>
          <w:i w:val="false"/>
          <w:iCs w:val="false"/>
          <w:sz w:val="20"/>
          <w:szCs w:val="20"/>
        </w:rPr>
        <w:t xml:space="preserve">In a multiplexed ADC sampling 4 channels at 100 kSPS total throughput, each channel is sampled at 25 kSPS with a 40 µs time skew between adjacent channels. For a 60 Hz power signal, 40 µs = 0.864° of phase skew between channels. This skew cannot be calibrated out without knowing the exact signal frequency, which changes.</w:t>
      </w:r>
    </w:p>
    <w:p>
      <w:pPr>
        <w:spacing w:before="60" w:after="60"/>
      </w:pPr>
      <w:r>
        <w:rPr>
          <w:rFonts w:ascii="Arial" w:cs="Arial" w:eastAsia="Arial" w:hAnsi="Arial"/>
          <w:b w:val="false"/>
          <w:bCs w:val="false"/>
          <w:i w:val="false"/>
          <w:iCs w:val="false"/>
          <w:sz w:val="20"/>
          <w:szCs w:val="20"/>
        </w:rPr>
        <w:t xml:space="preserve">Applications that require simultaneous sampling: three-phase motor control (current sampling must be synchronous for field-oriented control), power quality analyzers (voltage and current must be co-phased for accurate power factor measurement), vibration analysis (multiple accelerometer axes must be time-coherent), and any application computing cross-correlation or phase between channels.</w:t>
      </w:r>
    </w:p>
    <w:p>
      <w:pPr>
        <w:spacing w:before="60" w:after="60"/>
      </w:pPr>
      <w:r>
        <w:rPr>
          <w:rFonts w:ascii="Arial" w:cs="Arial" w:eastAsia="Arial" w:hAnsi="Arial"/>
          <w:b w:val="false"/>
          <w:bCs w:val="false"/>
          <w:i w:val="false"/>
          <w:iCs w:val="false"/>
          <w:sz w:val="20"/>
          <w:szCs w:val="20"/>
        </w:rPr>
        <w:t xml:space="preserve">A multiplexed ADC cannot substitute for a simultaneous-sampling ADC in these applications regardless of resolution, sample rate, or any other parameter. This is an unconditional BLOCK.</w:t>
      </w:r>
    </w:p>
    <w:p>
      <w:pPr>
        <w:pStyle w:val="Heading2"/>
        <w:spacing w:before="200" w:after="100"/>
      </w:pPr>
      <w:r>
        <w:rPr>
          <w:rFonts w:ascii="Arial" w:cs="Arial" w:eastAsia="Arial" w:hAnsi="Arial"/>
          <w:b/>
          <w:bCs/>
          <w:color w:val="1F4E79"/>
          <w:sz w:val="22"/>
          <w:szCs w:val="22"/>
        </w:rPr>
        <w:t xml:space="preserve">4. Delta-Sigma Conversion Latency and Control Loop Stability</w:t>
      </w:r>
    </w:p>
    <w:p>
      <w:pPr>
        <w:spacing w:before="60" w:after="60"/>
      </w:pPr>
      <w:r>
        <w:rPr>
          <w:rFonts w:ascii="Arial" w:cs="Arial" w:eastAsia="Arial" w:hAnsi="Arial"/>
          <w:b w:val="false"/>
          <w:bCs w:val="false"/>
          <w:i w:val="false"/>
          <w:iCs w:val="false"/>
          <w:sz w:val="20"/>
          <w:szCs w:val="20"/>
        </w:rPr>
        <w:t xml:space="preserve">Delta-sigma ADCs are often attractive for their high resolution at low cost, but their conversion latency is a hidden system-level constraint that disqualifies them from many control loop applications where SAR ADCs are used.</w:t>
      </w:r>
    </w:p>
    <w:p>
      <w:pPr>
        <w:spacing w:before="60" w:after="60"/>
      </w:pPr>
      <w:r>
        <w:rPr>
          <w:rFonts w:ascii="Arial" w:cs="Arial" w:eastAsia="Arial" w:hAnsi="Arial"/>
          <w:b w:val="false"/>
          <w:bCs w:val="false"/>
          <w:i w:val="false"/>
          <w:iCs w:val="false"/>
          <w:sz w:val="20"/>
          <w:szCs w:val="20"/>
        </w:rPr>
        <w:t xml:space="preserve">A delta-sigma ADC with a sinc3 decimation filter at ODR = 100 SPS has a group delay of approximately 3 / ODR = 30 ms. Substituting this into a PID control loop with a 10 Hz bandwidth (100 ms sample period) adds 30 ms of latency to the feedback path. Using the Nyquist stability criterion, 30 ms of extra delay at 10 Hz loop bandwidth consumes 30 ms × 10 Hz × 360° = 108° of phase margin — catastrophic for any loop with less than 108° original phase margin.</w:t>
      </w:r>
    </w:p>
    <w:p>
      <w:pPr>
        <w:spacing w:before="60" w:after="60"/>
      </w:pPr>
      <w:r>
        <w:rPr>
          <w:rFonts w:ascii="Arial" w:cs="Arial" w:eastAsia="Arial" w:hAnsi="Arial"/>
          <w:b w:val="false"/>
          <w:bCs w:val="false"/>
          <w:i w:val="false"/>
          <w:iCs w:val="false"/>
          <w:sz w:val="20"/>
          <w:szCs w:val="20"/>
        </w:rPr>
        <w:t xml:space="preserve">The correct question is not 'does the delta-sigma meet the resolution requirement?' but 'does the delta-sigma latency fit within the control loop's phase margin budget?'. For most industrial PID loops running at 1–100 Hz bandwidth, the answer is no unless the ODR is set high enough to make the latency negligible.</w:t>
      </w:r>
    </w:p>
    <w:p>
      <w:pPr>
        <w:spacing w:before="60" w:after="60"/>
      </w:pPr>
      <w:r>
        <w:rPr>
          <w:rFonts w:ascii="Arial" w:cs="Arial" w:eastAsia="Arial" w:hAnsi="Arial"/>
          <w:b w:val="false"/>
          <w:bCs w:val="false"/>
          <w:i w:val="false"/>
          <w:iCs w:val="false"/>
          <w:sz w:val="20"/>
          <w:szCs w:val="20"/>
        </w:rPr>
        <w:t xml:space="preserve">SAR ADC latency for comparison: a 16-bit SAR at 100 kSPS has a conversion latency of 1/100,000 = 10 µs — three orders of magnitude less than the delta-sigma example above.</w:t>
      </w:r>
    </w:p>
    <w:p>
      <w:pPr>
        <w:pStyle w:val="Heading2"/>
        <w:spacing w:before="200" w:after="100"/>
      </w:pPr>
      <w:r>
        <w:rPr>
          <w:rFonts w:ascii="Arial" w:cs="Arial" w:eastAsia="Arial" w:hAnsi="Arial"/>
          <w:b/>
          <w:bCs/>
          <w:color w:val="1F4E79"/>
          <w:sz w:val="22"/>
          <w:szCs w:val="22"/>
        </w:rPr>
        <w:t xml:space="preserve">5. SPI Interface Compatibility: It's Not Just the Protocol</w:t>
      </w:r>
    </w:p>
    <w:p>
      <w:pPr>
        <w:spacing w:before="60" w:after="60"/>
      </w:pPr>
      <w:r>
        <w:rPr>
          <w:rFonts w:ascii="Arial" w:cs="Arial" w:eastAsia="Arial" w:hAnsi="Arial"/>
          <w:b w:val="false"/>
          <w:bCs w:val="false"/>
          <w:i w:val="false"/>
          <w:iCs w:val="false"/>
          <w:sz w:val="20"/>
          <w:szCs w:val="20"/>
        </w:rPr>
        <w:t xml:space="preserve">SPI is the dominant interface for precision ADCs, but 'SPI' covers a wide range of incompatible implementations that share only the four-wire physical layer.</w:t>
      </w:r>
    </w:p>
    <w:p>
      <w:pPr>
        <w:spacing w:before="60" w:after="60"/>
      </w:pPr>
      <w:r>
        <w:rPr>
          <w:rFonts w:ascii="Arial" w:cs="Arial" w:eastAsia="Arial" w:hAnsi="Arial"/>
          <w:b w:val="false"/>
          <w:bCs w:val="false"/>
          <w:i w:val="false"/>
          <w:iCs w:val="false"/>
          <w:sz w:val="20"/>
          <w:szCs w:val="20"/>
        </w:rPr>
        <w:t xml:space="preserve">Critical SPI differences between ADC families: (1) Clock polarity/phase (CPOL/CPHA): modes 0,0 and 1,1 are most common for ADCs, but mixing modes produces misread data without any error indication. (2) Word length: 16-bit transfers vs. 24-bit transfers vs. 32-bit transfers with status bits. (3) Data readout order: MSB-first is standard but not universal. (4) Conversion trigger: some ADCs start conversion on CS assertion, others on a dedicated CNVST pin, others continuously. (5) Daisy-chain support: some multi-channel ADCs support daisy-chaining (SDO of one device connects to SDI of next); others require individual CS lines. All of these differences require firmware changes and must be verified against the existing driver before substituting.</w:t>
      </w:r>
    </w:p>
    <w:p>
      <w:pPr>
        <w:spacing w:before="80" w:after="80"/>
      </w:pPr>
      <w:r>
        <w:t xml:space="preserve"/>
      </w:r>
    </w:p>
    <w:p>
      <w:pPr>
        <w:pStyle w:val="Heading1"/>
        <w:spacing w:before="200" w:after="100"/>
      </w:pPr>
      <w:r>
        <w:rPr>
          <w:rFonts w:ascii="Arial" w:cs="Arial" w:eastAsia="Arial" w:hAnsi="Arial"/>
          <w:b/>
          <w:bCs/>
          <w:color w:val="1F4E79"/>
          <w:sz w:val="28"/>
          <w:szCs w:val="28"/>
        </w:rPr>
        <w:t xml:space="preserve">5. Application Context Questions</w:t>
      </w:r>
    </w:p>
    <w:p>
      <w:pPr>
        <w:spacing w:before="60" w:after="60"/>
      </w:pPr>
      <w:r>
        <w:rPr>
          <w:rFonts w:ascii="Arial" w:cs="Arial" w:eastAsia="Arial" w:hAnsi="Arial"/>
          <w:b w:val="false"/>
          <w:bCs w:val="false"/>
          <w:i w:val="false"/>
          <w:iCs w:val="false"/>
          <w:sz w:val="20"/>
          <w:szCs w:val="20"/>
        </w:rPr>
        <w:t xml:space="preserve">The orchestrator asks these four questions before running the matching engine. For the full attribute effect tables see docs/application-context-attribute-map.md, section '36. ADCs (Family C9)'.</w:t>
      </w:r>
    </w:p>
    <w:p>
      <w:pPr>
        <w:spacing w:before="80" w:after="80"/>
      </w:pPr>
      <w:r>
        <w:t xml:space="preserve"/>
      </w:r>
    </w:p>
    <w:p>
      <w:pPr>
        <w:pStyle w:val="Heading2"/>
        <w:spacing w:before="200" w:after="100"/>
      </w:pPr>
      <w:r>
        <w:rPr>
          <w:rFonts w:ascii="Arial" w:cs="Arial" w:eastAsia="Arial" w:hAnsi="Arial"/>
          <w:b/>
          <w:bCs/>
          <w:color w:val="1F4E79"/>
          <w:sz w:val="22"/>
          <w:szCs w:val="22"/>
        </w:rPr>
        <w:t xml:space="preserve">Question 1 (BLOCKING): What is the ADC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Answer</w:t>
            </w:r>
          </w:p>
        </w:tc>
        <w:tc>
          <w:tcPr>
            <w:tcW w:type="dxa" w:w="756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Effect on Matching</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SAR (Successive-Approximation Register)</w:t>
            </w:r>
          </w:p>
        </w:tc>
        <w:tc>
          <w:tcPr>
            <w:tcW w:type="dxa" w:w="75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All Delta-Sigma, Pipeline, and Flash candidates blocked. architecture → SAR confirmed. simultaneous_sampling → active (critical for multi-channel SAR). conversion_latency_cycles → active at SAR class (1 cycle). sample_rate_sps → active. Proceed to Q2 for resolution context, Q3 for channel topology.</w:t>
            </w:r>
          </w:p>
        </w:tc>
      </w:tr>
      <w:tr>
        <w:tc>
          <w:tcPr>
            <w:tcW w:type="dxa" w:w="18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Delta-Sigma</w:t>
            </w:r>
          </w:p>
        </w:tc>
        <w:tc>
          <w:tcPr>
            <w:tcW w:type="dxa" w:w="75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All SAR, Pipeline, Flash candidates blocked. architecture → Delta-Sigma confirmed. conversion_latency_cycles → escalate_to_primary (decimation filter delay is dominant system constraint). enob → active at the application ODR, not maximum ODR. sample_rate_sps interpreted as output data rate (ODR). Proceed to Q2 for resolution context.</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Pipeline</w:t>
            </w:r>
          </w:p>
        </w:tc>
        <w:tc>
          <w:tcPr>
            <w:tcW w:type="dxa" w:w="75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All SAR, Delta-Sigma, Flash candidates blocked. architecture → Pipeline confirmed. sample_rate_sps → escalate_to_primary. conversion_latency_cycles → active (pipeline stages). thd_db → escalate_to_primary (harmonic distortion dominates at high input frequencies). Proceed to Q2.</w:t>
            </w:r>
          </w:p>
        </w:tc>
      </w:tr>
      <w:tr>
        <w:tc>
          <w:tcPr>
            <w:tcW w:type="dxa" w:w="18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Flash / Folding-interpolating</w:t>
            </w:r>
          </w:p>
        </w:tc>
        <w:tc>
          <w:tcPr>
            <w:tcW w:type="dxa" w:w="75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All SAR, Delta-Sigma, Pipeline candidates blocked. architecture → Flash confirmed. sample_rate_sps → escalate_to_mandatory (speed is the reason for Flash). power_consumption_mw → escalate_to_primary (Flash ADCs are power-hungry). resolution_bits → active (typically 6–10 bit).</w:t>
            </w:r>
          </w:p>
        </w:tc>
      </w:tr>
    </w:tbl>
    <w:p>
      <w:pPr>
        <w:spacing w:before="80" w:after="80"/>
      </w:pPr>
      <w:r>
        <w:t xml:space="preserve"/>
      </w:r>
    </w:p>
    <w:p>
      <w:pPr>
        <w:pStyle w:val="Heading2"/>
        <w:spacing w:before="200" w:after="100"/>
      </w:pPr>
      <w:r>
        <w:rPr>
          <w:rFonts w:ascii="Arial" w:cs="Arial" w:eastAsia="Arial" w:hAnsi="Arial"/>
          <w:b/>
          <w:bCs/>
          <w:color w:val="1F4E79"/>
          <w:sz w:val="22"/>
          <w:szCs w:val="22"/>
        </w:rPr>
        <w:t xml:space="preserve">Question 2: What is the resolution / precision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Answer</w:t>
            </w:r>
          </w:p>
        </w:tc>
        <w:tc>
          <w:tcPr>
            <w:tcW w:type="dxa" w:w="756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Effect on Matching</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≤12-bit general purpose (sensor digitization, position feedback, general control)</w:t>
            </w:r>
          </w:p>
        </w:tc>
        <w:tc>
          <w:tcPr>
            <w:tcW w:type="dxa" w:w="75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Default thresholds apply. enob → Application Review. inl_lsb → active at ≤2 LSB threshold. dnl_lsb → active at ≤1 LSB threshold (missing codes). thd_db → Application Review.</w:t>
            </w:r>
          </w:p>
        </w:tc>
      </w:tr>
      <w:tr>
        <w:tc>
          <w:tcPr>
            <w:tcW w:type="dxa" w:w="18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12–16-bit precision (industrial measurement, data acquisition, precision control)</w:t>
            </w:r>
          </w:p>
        </w:tc>
        <w:tc>
          <w:tcPr>
            <w:tcW w:type="dxa" w:w="75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enob → escalate_to_primary with threshold ≥ resolution_bits − 1.5. inl_lsb → escalate_to_primary with threshold ≤ 1 LSB. dnl_lsb → escalate_to_primary with threshold ≤ 0.5 LSB. reference_type → escalate_to_primary. thd_db → escalate_to_primary.</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16–24-bit high precision (weighing, pressure, instrumentation, audio)</w:t>
            </w:r>
          </w:p>
        </w:tc>
        <w:tc>
          <w:tcPr>
            <w:tcW w:type="dxa" w:w="75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enob → escalate_to_mandatory + blockOnMissing with threshold ≥ resolution_bits − 2. inl_lsb → escalate_to_mandatory ≤ 0.5 LSB. dnl_lsb → escalate_to_mandatory ≤ 0.5 LSB (no missing codes). reference_type → escalate_to_mandatory. reference_voltage → escalate_to_primary. conversion_latency_cycles → escalate_to_primary. thd_db → escalate_to_primary (if AC-coupled application).</w:t>
            </w:r>
          </w:p>
        </w:tc>
      </w:tr>
    </w:tbl>
    <w:p>
      <w:pPr>
        <w:spacing w:before="80" w:after="80"/>
      </w:pPr>
      <w:r>
        <w:t xml:space="preserve"/>
      </w:r>
    </w:p>
    <w:p>
      <w:pPr>
        <w:spacing w:before="60" w:after="60"/>
      </w:pPr>
      <w:r>
        <w:rPr>
          <w:rFonts w:ascii="Arial" w:cs="Arial" w:eastAsia="Arial" w:hAnsi="Arial"/>
          <w:b/>
          <w:bCs/>
          <w:i w:val="false"/>
          <w:iCs w:val="false"/>
          <w:sz w:val="20"/>
          <w:szCs w:val="20"/>
        </w:rPr>
        <w:t xml:space="preserve">Affected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1500"/>
        <w:gridCol w:w="2660"/>
      </w:tblGrid>
      <w:tr>
        <w:tc>
          <w:tcPr>
            <w:tcW w:type="dxa" w:w="220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Attribute</w:t>
            </w:r>
          </w:p>
        </w:tc>
        <w:tc>
          <w:tcPr>
            <w:tcW w:type="dxa" w:w="150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Default</w:t>
            </w:r>
          </w:p>
        </w:tc>
        <w:tc>
          <w:tcPr>
            <w:tcW w:type="dxa" w:w="150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Q2=≤12-bit</w:t>
            </w:r>
          </w:p>
        </w:tc>
        <w:tc>
          <w:tcPr>
            <w:tcW w:type="dxa" w:w="150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Q2=12–16-bit</w:t>
            </w:r>
          </w:p>
        </w:tc>
        <w:tc>
          <w:tcPr>
            <w:tcW w:type="dxa" w:w="266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Q2=16–24-bit</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`enob`</w:t>
            </w:r>
          </w:p>
        </w:tc>
        <w:tc>
          <w:tcPr>
            <w:tcW w:type="dxa" w:w="1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threshold gte w7</w:t>
            </w:r>
          </w:p>
        </w:tc>
        <w:tc>
          <w:tcPr>
            <w:tcW w:type="dxa" w:w="1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Application Review</w:t>
            </w:r>
          </w:p>
        </w:tc>
        <w:tc>
          <w:tcPr>
            <w:tcW w:type="dxa" w:w="1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escalate_to_primary</w:t>
            </w:r>
          </w:p>
        </w:tc>
        <w:tc>
          <w:tcPr>
            <w:tcW w:type="dxa" w:w="26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escalate_to_mandatory + blockOnMissing</w:t>
            </w:r>
          </w:p>
        </w:tc>
      </w:tr>
      <w:tr>
        <w:tc>
          <w:tcPr>
            <w:tcW w:type="dxa" w:w="22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`inl_lsb`</w:t>
            </w:r>
          </w:p>
        </w:tc>
        <w:tc>
          <w:tcPr>
            <w:tcW w:type="dxa" w:w="15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threshold lte w7</w:t>
            </w:r>
          </w:p>
        </w:tc>
        <w:tc>
          <w:tcPr>
            <w:tcW w:type="dxa" w:w="15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≤2 LSB</w:t>
            </w:r>
          </w:p>
        </w:tc>
        <w:tc>
          <w:tcPr>
            <w:tcW w:type="dxa" w:w="15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escalate_to_primary ≤1 LSB</w:t>
            </w:r>
          </w:p>
        </w:tc>
        <w:tc>
          <w:tcPr>
            <w:tcW w:type="dxa" w:w="26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escalate_to_mandatory ≤0.5 LSB</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`dnl_lsb`</w:t>
            </w:r>
          </w:p>
        </w:tc>
        <w:tc>
          <w:tcPr>
            <w:tcW w:type="dxa" w:w="1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threshold lte w6</w:t>
            </w:r>
          </w:p>
        </w:tc>
        <w:tc>
          <w:tcPr>
            <w:tcW w:type="dxa" w:w="1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≤1 LSB</w:t>
            </w:r>
          </w:p>
        </w:tc>
        <w:tc>
          <w:tcPr>
            <w:tcW w:type="dxa" w:w="1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escalate_to_primary ≤0.5 LSB</w:t>
            </w:r>
          </w:p>
        </w:tc>
        <w:tc>
          <w:tcPr>
            <w:tcW w:type="dxa" w:w="26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escalate_to_mandatory ≤0.5 LSB</w:t>
            </w:r>
          </w:p>
        </w:tc>
      </w:tr>
      <w:tr>
        <w:tc>
          <w:tcPr>
            <w:tcW w:type="dxa" w:w="22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`reference_type`</w:t>
            </w:r>
          </w:p>
        </w:tc>
        <w:tc>
          <w:tcPr>
            <w:tcW w:type="dxa" w:w="15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identity_flag w7</w:t>
            </w:r>
          </w:p>
        </w:tc>
        <w:tc>
          <w:tcPr>
            <w:tcW w:type="dxa" w:w="15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unchanged</w:t>
            </w:r>
          </w:p>
        </w:tc>
        <w:tc>
          <w:tcPr>
            <w:tcW w:type="dxa" w:w="15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escalate_to_primary</w:t>
            </w:r>
          </w:p>
        </w:tc>
        <w:tc>
          <w:tcPr>
            <w:tcW w:type="dxa" w:w="26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escalate_to_mandatory</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`thd_db`</w:t>
            </w:r>
          </w:p>
        </w:tc>
        <w:tc>
          <w:tcPr>
            <w:tcW w:type="dxa" w:w="1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threshold lte w6</w:t>
            </w:r>
          </w:p>
        </w:tc>
        <w:tc>
          <w:tcPr>
            <w:tcW w:type="dxa" w:w="1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Application Review</w:t>
            </w:r>
          </w:p>
        </w:tc>
        <w:tc>
          <w:tcPr>
            <w:tcW w:type="dxa" w:w="1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escalate_to_primary</w:t>
            </w:r>
          </w:p>
        </w:tc>
        <w:tc>
          <w:tcPr>
            <w:tcW w:type="dxa" w:w="26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escalate_to_primary</w:t>
            </w:r>
          </w:p>
        </w:tc>
      </w:tr>
    </w:tbl>
    <w:p>
      <w:pPr>
        <w:spacing w:before="80" w:after="80"/>
      </w:pPr>
      <w:r>
        <w:t xml:space="preserve"/>
      </w:r>
    </w:p>
    <w:p>
      <w:pPr>
        <w:pStyle w:val="Heading2"/>
        <w:spacing w:before="200" w:after="100"/>
      </w:pPr>
      <w:r>
        <w:rPr>
          <w:rFonts w:ascii="Arial" w:cs="Arial" w:eastAsia="Arial" w:hAnsi="Arial"/>
          <w:b/>
          <w:bCs/>
          <w:color w:val="1F4E79"/>
          <w:sz w:val="22"/>
          <w:szCs w:val="22"/>
        </w:rPr>
        <w:t xml:space="preserve">Question 3: What is the channel / sampling topology and application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Answer</w:t>
            </w:r>
          </w:p>
        </w:tc>
        <w:tc>
          <w:tcPr>
            <w:tcW w:type="dxa" w:w="756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Effect on Matching</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Single-channel or multi-channel multiplexed (channels sampled sequentially)</w:t>
            </w:r>
          </w:p>
        </w:tc>
        <w:tc>
          <w:tcPr>
            <w:tcW w:type="dxa" w:w="75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simultaneous_sampling → not required. channel_count → threshold ≥ original. conversion_latency_cycles → active at standard threshold.</w:t>
            </w:r>
          </w:p>
        </w:tc>
      </w:tr>
      <w:tr>
        <w:tc>
          <w:tcPr>
            <w:tcW w:type="dxa" w:w="18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Multi-channel simultaneous sampling (all channels captured at same instant)</w:t>
            </w:r>
          </w:p>
        </w:tc>
        <w:tc>
          <w:tcPr>
            <w:tcW w:type="dxa" w:w="75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simultaneous_sampling → escalate_to_mandatory + blockOnMissing. Multiplexed ADCs BLOCKED unconditionally — inter-channel time skew is unacceptable. channel_count → exact match required (cannot reduce simultaneous channels without hardware redesign).</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Control loop / closed-loop feedback (fast response required)</w:t>
            </w:r>
          </w:p>
        </w:tc>
        <w:tc>
          <w:tcPr>
            <w:tcW w:type="dxa" w:w="75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conversion_latency_cycles → escalate_to_mandatory + blockOnMissing. Delta-Sigma candidates flagged Application Review with calculated latency impact (phase margin consumed). sample_rate_sps → escalate_to_primary.</w:t>
            </w:r>
          </w:p>
        </w:tc>
      </w:tr>
      <w:tr>
        <w:tc>
          <w:tcPr>
            <w:tcW w:type="dxa" w:w="18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Battery-powered / power-constrained</w:t>
            </w:r>
          </w:p>
        </w:tc>
        <w:tc>
          <w:tcPr>
            <w:tcW w:type="dxa" w:w="75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power_consumption_mw → escalate_to_primary. sample_rate_sps → verify minimum rate meets application (lower rate = lower power). High-speed pipeline ADCs add Application Review flag for power.</w:t>
            </w:r>
          </w:p>
        </w:tc>
      </w:tr>
    </w:tbl>
    <w:p>
      <w:pPr>
        <w:spacing w:before="80" w:after="80"/>
      </w:pPr>
      <w:r>
        <w:t xml:space="preserve"/>
      </w:r>
    </w:p>
    <w:p>
      <w:pPr>
        <w:pStyle w:val="Heading2"/>
        <w:spacing w:before="200" w:after="100"/>
      </w:pPr>
      <w:r>
        <w:rPr>
          <w:rFonts w:ascii="Arial" w:cs="Arial" w:eastAsia="Arial" w:hAnsi="Arial"/>
          <w:b/>
          <w:bCs/>
          <w:color w:val="1F4E79"/>
          <w:sz w:val="22"/>
          <w:szCs w:val="22"/>
        </w:rPr>
        <w:t xml:space="preserve">Question 4: Is this an automotive design (AEC-Q100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Answer</w:t>
            </w:r>
          </w:p>
        </w:tc>
        <w:tc>
          <w:tcPr>
            <w:tcW w:type="dxa" w:w="756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Effect on Matching</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Yes — automotive (AEC-Q100 required)</w:t>
            </w:r>
          </w:p>
        </w:tc>
        <w:tc>
          <w:tcPr>
            <w:tcW w:type="dxa" w:w="75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aec_q100 → escalate_to_mandatory + blockOnMissing. Non-AEC candidates removed from pool before scoring. operating_temp_range → escalate_to_mandatory covering −40°C to +125°C. For ADAS/functional safety applications: also flag inl_lsb and dnl_lsb as primary constraints (linearity directly affects safety-critical measurements).</w:t>
            </w:r>
          </w:p>
        </w:tc>
      </w:tr>
      <w:tr>
        <w:tc>
          <w:tcPr>
            <w:tcW w:type="dxa" w:w="18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No</w:t>
            </w:r>
          </w:p>
        </w:tc>
        <w:tc>
          <w:tcPr>
            <w:tcW w:type="dxa" w:w="75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aec_q100 → Operational (informational weight only). Standard environmental matching.</w:t>
            </w:r>
          </w:p>
        </w:tc>
      </w:tr>
    </w:tbl>
    <w:p>
      <w:pPr>
        <w:spacing w:before="80" w:after="80"/>
      </w:pPr>
      <w:r>
        <w:t xml:space="preserve"/>
      </w:r>
    </w:p>
    <w:p>
      <w:pPr>
        <w:spacing w:before="60" w:after="60"/>
      </w:pPr>
      <w:r>
        <w:rPr>
          <w:rFonts w:ascii="Arial" w:cs="Arial" w:eastAsia="Arial" w:hAnsi="Arial"/>
          <w:b/>
          <w:bCs/>
          <w:i w:val="false"/>
          <w:iCs w:val="false"/>
          <w:sz w:val="20"/>
          <w:szCs w:val="20"/>
        </w:rPr>
        <w:t xml:space="preserve">Affected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3000"/>
        <w:gridCol w:w="2660"/>
      </w:tblGrid>
      <w:tr>
        <w:tc>
          <w:tcPr>
            <w:tcW w:type="dxa" w:w="220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Attribute</w:t>
            </w:r>
          </w:p>
        </w:tc>
        <w:tc>
          <w:tcPr>
            <w:tcW w:type="dxa" w:w="150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Default</w:t>
            </w:r>
          </w:p>
        </w:tc>
        <w:tc>
          <w:tcPr>
            <w:tcW w:type="dxa" w:w="300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Q4=Yes (Automotive)</w:t>
            </w:r>
          </w:p>
        </w:tc>
        <w:tc>
          <w:tcPr>
            <w:tcW w:type="dxa" w:w="266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Q4=No</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`aec_q100`</w:t>
            </w:r>
          </w:p>
        </w:tc>
        <w:tc>
          <w:tcPr>
            <w:tcW w:type="dxa" w:w="1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identity_flag w4</w:t>
            </w:r>
          </w:p>
        </w:tc>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escalate_to_mandatory + blockOnMissing</w:t>
            </w:r>
          </w:p>
        </w:tc>
        <w:tc>
          <w:tcPr>
            <w:tcW w:type="dxa" w:w="26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unchanged</w:t>
            </w:r>
          </w:p>
        </w:tc>
      </w:tr>
      <w:tr>
        <w:tc>
          <w:tcPr>
            <w:tcW w:type="dxa" w:w="22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`operating_temp_range`</w:t>
            </w:r>
          </w:p>
        </w:tc>
        <w:tc>
          <w:tcPr>
            <w:tcW w:type="dxa" w:w="15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threshold superset w7</w:t>
            </w:r>
          </w:p>
        </w:tc>
        <w:tc>
          <w:tcPr>
            <w:tcW w:type="dxa" w:w="30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escalate_to_mandatory −40°C to +125°C</w:t>
            </w:r>
          </w:p>
        </w:tc>
        <w:tc>
          <w:tcPr>
            <w:tcW w:type="dxa" w:w="26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unchanged</w:t>
            </w:r>
          </w:p>
        </w:tc>
      </w:tr>
    </w:tbl>
    <w:p>
      <w:pPr>
        <w:spacing w:before="80" w:after="80"/>
      </w:pPr>
      <w:r>
        <w:t xml:space="preserve"/>
      </w:r>
    </w:p>
    <w:p>
      <w:pPr>
        <w:pStyle w:val="Heading1"/>
        <w:spacing w:before="200" w:after="100"/>
      </w:pPr>
      <w:r>
        <w:rPr>
          <w:rFonts w:ascii="Arial" w:cs="Arial" w:eastAsia="Arial" w:hAnsi="Arial"/>
          <w:b/>
          <w:bCs/>
          <w:color w:val="1F4E79"/>
          <w:sz w:val="28"/>
          <w:szCs w:val="28"/>
        </w:rPr>
        <w:t xml:space="preserve">6. Digikey Category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2800"/>
        <w:gridCol w:w="3160"/>
      </w:tblGrid>
      <w:tr>
        <w:tc>
          <w:tcPr>
            <w:tcW w:type="dxa" w:w="80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Family</w:t>
            </w:r>
          </w:p>
        </w:tc>
        <w:tc>
          <w:tcPr>
            <w:tcW w:type="dxa" w:w="260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Digikey Category</w:t>
            </w:r>
          </w:p>
        </w:tc>
        <w:tc>
          <w:tcPr>
            <w:tcW w:type="dxa" w:w="280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Key Parametric Fields Present</w:t>
            </w:r>
          </w:p>
        </w:tc>
        <w:tc>
          <w:tcPr>
            <w:tcW w:type="dxa" w:w="316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Missing from Digikey</w:t>
            </w:r>
          </w:p>
        </w:tc>
      </w:tr>
      <w:tr>
        <w:tc>
          <w:tcPr>
            <w:tcW w:type="dxa" w:w="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C9 (SAR)</w:t>
            </w:r>
          </w:p>
        </w:tc>
        <w:tc>
          <w:tcPr>
            <w:tcW w:type="dxa" w:w="2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Data Acquisition — Analog to Digital Converters (ADC)</w:t>
            </w:r>
          </w:p>
        </w:tc>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Resolution, sample rate, interface, channels, supply, package, AEC-Q100</w:t>
            </w:r>
          </w:p>
        </w:tc>
        <w:tc>
          <w:tcPr>
            <w:tcW w:type="dxa" w:w="31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ENOB, simultaneous sampling flag (sometimes), conversion latency, INL/DNL (sometimes)</w:t>
            </w:r>
          </w:p>
        </w:tc>
      </w:tr>
      <w:tr>
        <w:tc>
          <w:tcPr>
            <w:tcW w:type="dxa" w:w="8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C9 (Delta-Sigma)</w:t>
            </w:r>
          </w:p>
        </w:tc>
        <w:tc>
          <w:tcPr>
            <w:tcW w:type="dxa" w:w="26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Data Acquisition — ADC</w:t>
            </w:r>
          </w:p>
        </w:tc>
        <w:tc>
          <w:tcPr>
            <w:tcW w:type="dxa" w:w="28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Resolution, ODR, interface, channels, supply</w:t>
            </w:r>
          </w:p>
        </w:tc>
        <w:tc>
          <w:tcPr>
            <w:tcW w:type="dxa" w:w="31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ENOB at specific ODR, decimation filter type, conversion latency cycles</w:t>
            </w:r>
          </w:p>
        </w:tc>
      </w:tr>
      <w:tr>
        <w:tc>
          <w:tcPr>
            <w:tcW w:type="dxa" w:w="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C9 (Pipeline/Flash)</w:t>
            </w:r>
          </w:p>
        </w:tc>
        <w:tc>
          <w:tcPr>
            <w:tcW w:type="dxa" w:w="2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Data Acquisition — ADC</w:t>
            </w:r>
          </w:p>
        </w:tc>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Sample rate, resolution, interface, supply</w:t>
            </w:r>
          </w:p>
        </w:tc>
        <w:tc>
          <w:tcPr>
            <w:tcW w:type="dxa" w:w="31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ENOB, pipeline latency, input full-power bandwidth</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180" w:after="80"/>
      <w:outlineLvl w:val="1"/>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2026-03-03T00:49:00.668Z</dcterms:created>
  <dcterms:modified xsi:type="dcterms:W3CDTF">2026-03-03T00:49:00.668Z</dcterms:modified>
</cp:coreProperties>
</file>

<file path=docProps/custom.xml><?xml version="1.0" encoding="utf-8"?>
<Properties xmlns="http://schemas.openxmlformats.org/officeDocument/2006/custom-properties" xmlns:vt="http://schemas.openxmlformats.org/officeDocument/2006/docPropsVTypes"/>
</file>