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180"/>
      </w:pPr>
      <w:r>
        <w:rPr>
          <w:rFonts w:ascii="Arial" w:cs="Arial" w:eastAsia="Arial" w:hAnsi="Arial"/>
          <w:b/>
          <w:bCs/>
          <w:color w:val="1F4E79"/>
          <w:sz w:val="36"/>
          <w:szCs w:val="36"/>
        </w:rPr>
        <w:t xml:space="preserve">Component Replacement Logic Table</w:t>
      </w:r>
    </w:p>
    <w:p>
      <w:pPr>
        <w:spacing w:before="0" w:after="60"/>
      </w:pPr>
      <w:r>
        <w:rPr>
          <w:rFonts w:ascii="Arial" w:cs="Arial" w:eastAsia="Arial" w:hAnsi="Arial"/>
          <w:color w:val="444444"/>
          <w:sz w:val="24"/>
          <w:szCs w:val="24"/>
        </w:rPr>
        <w:t xml:space="preserve">Family D2 — Fuses (Traditional Overcurrent Protection)  |  Block D: Frequency &amp; Protection Components</w:t>
      </w:r>
    </w:p>
    <w:p>
      <w:pPr>
        <w:spacing w:before="0" w:after="240"/>
      </w:pPr>
      <w:r>
        <w:rPr>
          <w:rFonts w:ascii="Arial" w:cs="Arial" w:eastAsia="Arial" w:hAnsi="Arial"/>
          <w:i/>
          <w:iCs/>
          <w:color w:val="666666"/>
          <w:sz w:val="22"/>
          <w:szCs w:val="22"/>
        </w:rPr>
        <w:t xml:space="preserve">Context Sensitivity: Moderate  |  14 Matching Rules</w:t>
      </w:r>
    </w:p>
    <w:p>
      <w:pPr>
        <w:pStyle w:val="Heading1"/>
        <w:spacing w:before="200" w:after="100"/>
      </w:pPr>
      <w:r>
        <w:rPr>
          <w:rFonts w:ascii="Arial" w:cs="Arial" w:eastAsia="Arial" w:hAnsi="Arial"/>
          <w:b/>
          <w:bCs/>
          <w:color w:val="1F4E79"/>
          <w:sz w:val="28"/>
          <w:szCs w:val="28"/>
        </w:rPr>
        <w:t xml:space="preserve">1. Family Overview</w:t>
      </w:r>
    </w:p>
    <w:p>
      <w:pPr>
        <w:spacing w:before="60" w:after="60"/>
      </w:pPr>
      <w:r>
        <w:rPr>
          <w:rFonts w:ascii="Arial" w:cs="Arial" w:eastAsia="Arial" w:hAnsi="Arial"/>
          <w:b w:val="false"/>
          <w:bCs w:val="false"/>
          <w:i w:val="false"/>
          <w:iCs w:val="false"/>
          <w:sz w:val="20"/>
          <w:szCs w:val="20"/>
        </w:rPr>
        <w:t xml:space="preserve">Family D2 covers traditional (non-resettable) fuses: glass cartridge, ceramic cartridge, blade (automotive), and SMD fuses. These are one-time overcurrent protection devices — they must be physically replaced after blowing. D2 is distinct from Family 66 (PTC Resettable Fuses), which reset automatically after the fault is cleared.</w:t>
      </w:r>
    </w:p>
    <w:p>
      <w:pPr>
        <w:spacing w:before="60" w:after="60"/>
      </w:pPr>
      <w:r>
        <w:rPr>
          <w:rFonts w:ascii="Arial" w:cs="Arial" w:eastAsia="Arial" w:hAnsi="Arial"/>
          <w:b w:val="false"/>
          <w:bCs w:val="false"/>
          <w:i w:val="false"/>
          <w:iCs w:val="false"/>
          <w:sz w:val="20"/>
          <w:szCs w:val="20"/>
        </w:rPr>
        <w:t xml:space="preserve">Key device examples: Cartridge 5×20mm — Littelfuse 218 series (fast-blow), 218T series (slow-blow), Schurter GSF series; Cartridge 6.3×32mm — Littelfuse 312 series; SMD — Littelfuse 0451 series (fast-blow SMD), Bourns SF-1206 series, Bel Fuse 0685 series; Automotive blade — Littelfuse ATO/ATC series, Pacific Engineering Mini (ATM) series.</w:t>
      </w:r>
    </w:p>
    <w:p>
      <w:pPr>
        <w:spacing w:before="60" w:after="60"/>
      </w:pPr>
      <w:r>
        <w:rPr>
          <w:rFonts w:ascii="Arial" w:cs="Arial" w:eastAsia="Arial" w:hAnsi="Arial"/>
          <w:b w:val="false"/>
          <w:bCs w:val="false"/>
          <w:i w:val="false"/>
          <w:iCs w:val="false"/>
          <w:sz w:val="20"/>
          <w:szCs w:val="20"/>
        </w:rPr>
        <w:t xml:space="preserve">Related Families: 66 (PTC Resettable Fuses — automatic reset, polymer matrix), 65 (Varistors/MOVs — voltage transient suppression, complementary protection), 59 (Tantalum capacitors — fuse protects against tantalum short-circuit failure mode).</w:t>
      </w:r>
    </w:p>
    <w:p>
      <w:pPr>
        <w:spacing w:before="60" w:after="60"/>
      </w:pPr>
      <w:r>
        <w:rPr>
          <w:rFonts w:ascii="Arial" w:cs="Arial" w:eastAsia="Arial" w:hAnsi="Arial"/>
          <w:b w:val="false"/>
          <w:bCs w:val="false"/>
          <w:i w:val="false"/>
          <w:iCs w:val="false"/>
          <w:sz w:val="20"/>
          <w:szCs w:val="20"/>
        </w:rPr>
        <w:t xml:space="preserve">Important: D2 does not cover thermal fuses (temperature-sensitive, one-time cutoffs used in motors and appliances) — these are a separate product category with different matching parameters.</w:t>
      </w:r>
    </w:p>
    <w:p>
      <w:pPr>
        <w:spacing w:before="80" w:after="80"/>
      </w:pPr>
      <w:r>
        <w:t xml:space="preserve"/>
      </w:r>
    </w:p>
    <w:p>
      <w:pPr>
        <w:pStyle w:val="Heading1"/>
        <w:spacing w:before="200" w:after="100"/>
      </w:pPr>
      <w:r>
        <w:rPr>
          <w:rFonts w:ascii="Arial" w:cs="Arial" w:eastAsia="Arial" w:hAnsi="Arial"/>
          <w:b/>
          <w:bCs/>
          <w:color w:val="1F4E79"/>
          <w:sz w:val="28"/>
          <w:szCs w:val="28"/>
        </w:rPr>
        <w:t xml:space="preserve">2. Matching Rules — 14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800"/>
        <w:gridCol w:w="1200"/>
        <w:gridCol w:w="460"/>
        <w:gridCol w:w="540"/>
        <w:gridCol w:w="5060"/>
      </w:tblGrid>
      <w:tr>
        <w:tc>
          <w:tcPr>
            <w:tcW w:type="dxa" w:w="3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w:t>
            </w:r>
          </w:p>
        </w:tc>
        <w:tc>
          <w:tcPr>
            <w:tcW w:type="dxa" w:w="18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Attribute</w:t>
            </w:r>
          </w:p>
        </w:tc>
        <w:tc>
          <w:tcPr>
            <w:tcW w:type="dxa" w:w="12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Rule Type</w:t>
            </w:r>
          </w:p>
        </w:tc>
        <w:tc>
          <w:tcPr>
            <w:tcW w:type="dxa" w:w="4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Weight</w:t>
            </w:r>
          </w:p>
        </w:tc>
        <w:tc>
          <w:tcPr>
            <w:tcW w:type="dxa" w:w="54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blockOn
Missing</w:t>
            </w:r>
          </w:p>
        </w:tc>
        <w:tc>
          <w:tcPr>
            <w:tcW w:type="dxa" w:w="50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Key Behavior</w:t>
            </w:r>
          </w:p>
        </w:tc>
      </w:tr>
      <w:tr>
        <w:tc>
          <w:tcPr>
            <w:tcW w:type="dxa" w:w="300"/>
            <w:gridSpan w:val="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top"/>
          </w:tcPr>
          <w:p>
            <w:r>
              <w:rPr>
                <w:rFonts w:ascii="Arial" w:cs="Arial" w:eastAsia="Arial" w:hAnsi="Arial"/>
                <w:b w:val="false"/>
                <w:bCs w:val="false"/>
                <w:color w:val="1F4E79"/>
                <w:sz w:val="18"/>
                <w:szCs w:val="18"/>
              </w:rPr>
              <w:t xml:space="preserve">SECTION 1: ELECTRICAL RATINGS — HARD GATES</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w:t>
            </w:r>
          </w:p>
        </w:tc>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`current_rating_a`</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10</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w:t>
            </w:r>
          </w:p>
        </w:tc>
        <w:tc>
          <w:tcPr>
            <w:tcW w:type="dxa" w:w="50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Nominal current rating (amperes). HARD GATE — replacement current rating must match original exactly. A 2A fuse cannot substitute for a 3A fuse: the 2A blows prematurely under normal load. A 3A fuse cannot substitute for a 2A fuse: the 3A may not blow during a fault that the original 2A would have interrupted, leaving the circuit unprotected. Current rating is not a threshold — it is an identity spec. Parsed from part number where encoded.</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2</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`voltage_rating_v`</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gte</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10</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w:t>
            </w:r>
          </w:p>
        </w:tc>
        <w:tc>
          <w:tcPr>
            <w:tcW w:type="dxa" w:w="50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Maximum circuit voltage the fuse can safely interrupt (V). Replacement voltage rating must be ≥ original. BLOCKING if replacement rating &lt; circuit voltage. A fuse rated below the circuit voltage cannot safely extinguish the arc when it blows — the arc continues, the fuse body may rupture or catch fire, and the fault current is not interrupted. Never downgrade voltage rating. Upsizing (higher voltage rating in a lower-voltage circuit) is always acceptable — a 250V fuse in a 125V circuit is safe.</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3</w:t>
            </w:r>
          </w:p>
        </w:tc>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`breaking_capacity_a`</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gte</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10</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w:t>
            </w:r>
          </w:p>
        </w:tc>
        <w:tc>
          <w:tcPr>
            <w:tcW w:type="dxa" w:w="50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Maximum prospective fault current the fuse can safely interrupt without rupture or fire (A, also called interrupting rating or short-circuit rating). Replacement breaking capacity must be ≥ original. If the available fault current exceeds the fuse's breaking capacity: the fuse body may explode, the enclosure may catch fire, fault current continues uninterrupted, and other components and wiring are damaged. Mains-connected applications: minimum 1500A breaking capacity (IEC) or 10,000A (UL for North American branch circuits). Low-voltage DC boards: 35–200A is typical. BLOCKING if replacement breaking capacity &lt; available fault current at the point of installation.</w:t>
            </w:r>
          </w:p>
        </w:tc>
      </w:tr>
      <w:tr>
        <w:tc>
          <w:tcPr>
            <w:tcW w:type="dxa" w:w="300"/>
            <w:gridSpan w:val="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top"/>
          </w:tcPr>
          <w:p>
            <w:r>
              <w:rPr>
                <w:rFonts w:ascii="Arial" w:cs="Arial" w:eastAsia="Arial" w:hAnsi="Arial"/>
                <w:b w:val="false"/>
                <w:bCs w:val="false"/>
                <w:color w:val="1F4E79"/>
                <w:sz w:val="18"/>
                <w:szCs w:val="18"/>
              </w:rPr>
              <w:t xml:space="preserve">SECTION 2: SPEED CLASS &amp; TIME-CURRENT BEHAVIOR</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4</w:t>
            </w:r>
          </w:p>
        </w:tc>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`speed_class`</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9</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w:t>
            </w:r>
          </w:p>
        </w:tc>
        <w:tc>
          <w:tcPr>
            <w:tcW w:type="dxa" w:w="50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HARD GATE. Fast-blow (F) / Medium / Slow-blow (T, time-delay) / Very Fast (FF, semiconductor protection) / Very Slow (TT). Speed class determines the fuse's time-current characteristic — how quickly it blows at various multiples of rated current. Fast-blow: clears within milliseconds at 2× rated current — correct for semiconductor protection, signal circuits, and any application where components cannot survive sustained overcurrent. Slow-blow: intentionally delayed to ride through inrush currents (motor start, capacitor charging, transformer inrush) — clears slowly at moderate overcurrent but quickly at high fault current. Substituting a fast-blow fuse where slow-blow is required: fuse blows every time the motor starts. Substituting a slow-blow where fast-blow is required: semiconductors are destroyed before the fuse clears. Cross-speed-class substitutions are BLOCKED.</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5</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`i2t_rating_a2s`</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8</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0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I²t let-through energy (A²·s) — the measure of total energy delivered to the circuit during the fuse's clearing time. Replacement I²t must be ≤ original (replacement must clear at least as fast as the original, delivering no more energy to downstream components). I²t determines whether components survive a fault: a semiconductor with I²t rating of 10 A²s is destroyed if the fuse lets through 15 A²s before clearing. Fast-blow fuses have low I²t; slow-blow have high I²t. Even within the same speed class, I²t varies between manufacturers — specify I²t explicitly for semiconductor protection applications. Escalated to mandatory for Q2 = semiconductor protection.</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6</w:t>
            </w:r>
          </w:p>
        </w:tc>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`melting_i2t_a2s`</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lte</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6</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0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Pre-arcing I²t — energy delivered from fault initiation to the moment the fuse element melts (before arc extinction). Total clearing I²t includes both melting I²t and arcing I²t. For semiconductor protection: melting I²t is the relevant limit — the semiconductor sees this energy during the fault before the fuse begins interrupting. When only one I²t value is available, use it conservatively (assume it is clearing I²t unless the datasheet specifies otherwise). Escalated to primary for Q2 = semiconductor protection.</w:t>
            </w:r>
          </w:p>
        </w:tc>
      </w:tr>
      <w:tr>
        <w:tc>
          <w:tcPr>
            <w:tcW w:type="dxa" w:w="300"/>
            <w:gridSpan w:val="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top"/>
          </w:tcPr>
          <w:p>
            <w:r>
              <w:rPr>
                <w:rFonts w:ascii="Arial" w:cs="Arial" w:eastAsia="Arial" w:hAnsi="Arial"/>
                <w:b w:val="false"/>
                <w:bCs w:val="false"/>
                <w:color w:val="1F4E79"/>
                <w:sz w:val="18"/>
                <w:szCs w:val="18"/>
              </w:rPr>
              <w:t xml:space="preserve">SECTION 3: PHYSICAL &amp; PACKAGE</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7</w:t>
            </w:r>
          </w:p>
        </w:tc>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`package_format`</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9</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w:t>
            </w:r>
          </w:p>
        </w:tc>
        <w:tc>
          <w:tcPr>
            <w:tcW w:type="dxa" w:w="50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HARD GATE. Cartridge (cylindrical glass or ceramic): 5×20mm (IEC), 6.3×32mm (North American 1/4×1-1/4 inch), 10×38mm (30A class). Blade (automotive): Mini (ATM), Regular (ATC/ATO), Maxi (APX), Low-Profile Mini, Micro2, Micro3. SMD (surface mount): 0402, 0603, 0805, 1206, 2410. PCB radial. These formats are physically incompatible — a 5×20mm cartridge cannot substitute for a blade fuse or an SMD fuse. BLOCK cross-format substitutions unconditionally.</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8</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`body_material`</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identity_flag</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6</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0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Glass / Ceramic / Sand-filled ceramic. Glass fuses allow visual inspection of the element after blowing — used where troubleshooting access is important. Ceramic (sand-filled): higher breaking capacity than glass (sand quenches the arc more effectively), opaque body. For mains applications with high available fault current: ceramic/sand-filled required. For high-voltage DC (solar, battery storage): ceramic with sand fill required — DC arcs are harder to extinguish than AC arcs and glass bodies cannot reliably contain them. Escalated to primary for Q2 = mains or high-voltage DC.</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9</w:t>
            </w:r>
          </w:p>
        </w:tc>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`mounting_type`</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8</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w:t>
            </w:r>
          </w:p>
        </w:tc>
        <w:tc>
          <w:tcPr>
            <w:tcW w:type="dxa" w:w="50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PCB through-hole / PCB SMD reflow / Chassis panel-mount (fuse holder) / In-line (wiring harness). These require different PCB footprints and assembly processes. BLOCK cross-mounting-type substitutions.</w:t>
            </w:r>
          </w:p>
        </w:tc>
      </w:tr>
      <w:tr>
        <w:tc>
          <w:tcPr>
            <w:tcW w:type="dxa" w:w="300"/>
            <w:gridSpan w:val="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top"/>
          </w:tcPr>
          <w:p>
            <w:r>
              <w:rPr>
                <w:rFonts w:ascii="Arial" w:cs="Arial" w:eastAsia="Arial" w:hAnsi="Arial"/>
                <w:b w:val="false"/>
                <w:bCs w:val="false"/>
                <w:color w:val="1F4E79"/>
                <w:sz w:val="18"/>
                <w:szCs w:val="18"/>
              </w:rPr>
              <w:t xml:space="preserve">SECTION 4: OPERATING CONDITIONS</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10</w:t>
            </w:r>
          </w:p>
        </w:tc>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`operating_temp_range`</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superset</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6</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0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Fuse rated current is specified at a reference temperature (typically +25°C). At elevated ambient temperature, the fuse carries less current before blowing — this is called thermal derating. A 5A fuse at +85°C ambient may effectively protect as a ~4A fuse. Replacement must be rated for the full ambient temperature range. For automotive engine-bay applications: −40°C to +125°C minimum.</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11</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`derating_factor`</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application_review</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5</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0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Percentage of rated current the fuse can carry continuously without degradation (typically 75–80% for most fuse types). The circuit's normal operating current must not exceed the continuous current limit (rated_current × derating_factor). If the original was derated to 75% and the replacement has a 70% derating factor: the operating current that was safe before may now be above the replacement's continuous limit. Flag as Application Review when operating current is close to the derating threshold.</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12</w:t>
            </w:r>
          </w:p>
        </w:tc>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`voltage_type`</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identity_flag</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7</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0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AC / DC / AC+DC rated. DC fuses must be specifically rated for DC — AC fuses are not suitable for DC circuits because DC arcs do not have a natural current zero crossing to assist arc extinction. A fuse rated for 250VAC may only be rated for 32VDC or 125VDC. For solar, battery, and EV applications: always verify DC voltage rating, not just the AC rating. Escalated to mandatory for Q2 = DC application.</w:t>
            </w:r>
          </w:p>
        </w:tc>
      </w:tr>
      <w:tr>
        <w:tc>
          <w:tcPr>
            <w:tcW w:type="dxa" w:w="300"/>
            <w:gridSpan w:val="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top"/>
          </w:tcPr>
          <w:p>
            <w:r>
              <w:rPr>
                <w:rFonts w:ascii="Arial" w:cs="Arial" w:eastAsia="Arial" w:hAnsi="Arial"/>
                <w:b w:val="false"/>
                <w:bCs w:val="false"/>
                <w:color w:val="1F4E79"/>
                <w:sz w:val="18"/>
                <w:szCs w:val="18"/>
              </w:rPr>
              <w:t xml:space="preserve">SECTION 5: STANDARDS &amp; QUALIFICATION</w:t>
            </w:r>
          </w:p>
        </w:tc>
      </w:tr>
      <w:tr>
        <w:tc>
          <w:tcPr>
            <w:tcW w:type="dxa" w:w="3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13</w:t>
            </w:r>
          </w:p>
        </w:tc>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`safety_certification`</w:t>
            </w:r>
          </w:p>
        </w:tc>
        <w:tc>
          <w:tcPr>
            <w:tcW w:type="dxa" w:w="12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identity_flag</w:t>
            </w:r>
          </w:p>
        </w:tc>
        <w:tc>
          <w:tcPr>
            <w:tcW w:type="dxa" w:w="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7</w:t>
            </w:r>
          </w:p>
        </w:tc>
        <w:tc>
          <w:tcPr>
            <w:tcW w:type="dxa" w:w="54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0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UL248 (North American) / IEC 60127 (international) / AEC-Q200 (automotive) / both UL+IEC. Safety certifications determine which markets the product can be shipped to and which regulatory requirements are met. UL and IEC have different current-time characteristic definitions (IEC uses FF/F/M/T/TT; UL uses different categories). A fuse certified only to IEC may not meet UL requirements for North American products. BLOCKING when the application specifies a required certification standard and the replacement does not carry it. Escalated to mandatory for Q2 = mains-connected.</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14</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`aec_q200`</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identity_flag</w:t>
            </w:r>
          </w:p>
        </w:tc>
        <w:tc>
          <w:tcPr>
            <w:tcW w:type="dxa" w:w="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4</w:t>
            </w:r>
          </w:p>
        </w:tc>
        <w:tc>
          <w:tcPr>
            <w:tcW w:type="dxa" w:w="5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w:t>
            </w:r>
          </w:p>
        </w:tc>
        <w:tc>
          <w:tcPr>
            <w:tcW w:type="dxa" w:w="50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AEC-Q200 passive component qualification for automotive applications. Escalated to mandatory + blockOnMissing for automotive (Q3). Non-AEC parts BLOCKED from automotive designs. Note: fuses use AEC-Q200 (passive), not AEC-Q100 (active ICs).</w:t>
            </w:r>
          </w:p>
        </w:tc>
      </w:tr>
    </w:tbl>
    <w:p>
      <w:pPr>
        <w:spacing w:before="80" w:after="80"/>
      </w:pPr>
      <w:r>
        <w:t xml:space="preserve"/>
      </w:r>
    </w:p>
    <w:p>
      <w:pPr>
        <w:pStyle w:val="Heading1"/>
        <w:spacing w:before="200" w:after="100"/>
      </w:pPr>
      <w:r>
        <w:rPr>
          <w:rFonts w:ascii="Arial" w:cs="Arial" w:eastAsia="Arial" w:hAnsi="Arial"/>
          <w:b/>
          <w:bCs/>
          <w:color w:val="1F4E79"/>
          <w:sz w:val="28"/>
          <w:szCs w:val="28"/>
        </w:rPr>
        <w:t xml:space="preserve">3. Logic Type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c>
          <w:tcPr>
            <w:tcW w:type="dxa" w:w="24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Rule Type</w:t>
            </w:r>
          </w:p>
        </w:tc>
        <w:tc>
          <w:tcPr>
            <w:tcW w:type="dxa" w:w="15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Count</w:t>
            </w:r>
          </w:p>
        </w:tc>
        <w:tc>
          <w:tcPr>
            <w:tcW w:type="dxa" w:w="54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Attributes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 (Hard Gate)</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4</w:t>
            </w:r>
          </w:p>
        </w:tc>
        <w:tc>
          <w:tcPr>
            <w:tcW w:type="dxa" w:w="5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`current_rating_a`, `speed_class`, `package_format`, `mounting_type`</w:t>
            </w:r>
          </w:p>
        </w:tc>
      </w:tr>
      <w:tr>
        <w:tc>
          <w:tcPr>
            <w:tcW w:type="dxa" w:w="24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Identity Flag</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4</w:t>
            </w:r>
          </w:p>
        </w:tc>
        <w:tc>
          <w:tcPr>
            <w:tcW w:type="dxa" w:w="5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`body_material`, `voltage_type`, `safety_certification`, `aec_q200`</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3</w:t>
            </w:r>
          </w:p>
        </w:tc>
        <w:tc>
          <w:tcPr>
            <w:tcW w:type="dxa" w:w="5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`voltage_rating_v`, `breaking_capacity_a` (both ≥) + `i2t_rating_a2s` threshold ≤</w:t>
            </w:r>
          </w:p>
        </w:tc>
      </w:tr>
      <w:tr>
        <w:tc>
          <w:tcPr>
            <w:tcW w:type="dxa" w:w="24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2</w:t>
            </w:r>
          </w:p>
        </w:tc>
        <w:tc>
          <w:tcPr>
            <w:tcW w:type="dxa" w:w="5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`i2t_rating_a2s`, `melting_i2t_a2s`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Threshold ⊇ (superset)</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w:t>
            </w:r>
          </w:p>
        </w:tc>
        <w:tc>
          <w:tcPr>
            <w:tcW w:type="dxa" w:w="5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`operating_temp_range`</w:t>
            </w:r>
          </w:p>
        </w:tc>
      </w:tr>
      <w:tr>
        <w:tc>
          <w:tcPr>
            <w:tcW w:type="dxa" w:w="24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Application Review</w:t>
            </w:r>
          </w:p>
        </w:tc>
        <w:tc>
          <w:tcPr>
            <w:tcW w:type="dxa" w:w="15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1</w:t>
            </w:r>
          </w:p>
        </w:tc>
        <w:tc>
          <w:tcPr>
            <w:tcW w:type="dxa" w:w="54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`derating_factor`</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Operational</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0</w:t>
            </w:r>
          </w:p>
        </w:tc>
        <w:tc>
          <w:tcPr>
            <w:tcW w:type="dxa" w:w="54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w:t>
            </w:r>
          </w:p>
        </w:tc>
      </w:tr>
    </w:tbl>
    <w:p>
      <w:pPr>
        <w:spacing w:before="80" w:after="80"/>
      </w:pPr>
      <w:r>
        <w:t xml:space="preserve"/>
      </w:r>
    </w:p>
    <w:p>
      <w:pPr>
        <w:pStyle w:val="Heading1"/>
        <w:spacing w:before="200" w:after="100"/>
      </w:pPr>
      <w:r>
        <w:rPr>
          <w:rFonts w:ascii="Arial" w:cs="Arial" w:eastAsia="Arial" w:hAnsi="Arial"/>
          <w:b/>
          <w:bCs/>
          <w:color w:val="1F4E79"/>
          <w:sz w:val="28"/>
          <w:szCs w:val="28"/>
        </w:rPr>
        <w:t xml:space="preserve">4. Engineering Notes</w:t>
      </w:r>
    </w:p>
    <w:p>
      <w:pPr>
        <w:pStyle w:val="Heading2"/>
        <w:spacing w:before="200" w:after="100"/>
      </w:pPr>
      <w:r>
        <w:rPr>
          <w:rFonts w:ascii="Arial" w:cs="Arial" w:eastAsia="Arial" w:hAnsi="Arial"/>
          <w:b/>
          <w:bCs/>
          <w:color w:val="1F4E79"/>
          <w:sz w:val="22"/>
          <w:szCs w:val="22"/>
        </w:rPr>
        <w:t xml:space="preserve">1. Current Rating Is Identity, Not a Threshold — Why Upsizing Is Not Safe</w:t>
      </w:r>
    </w:p>
    <w:p>
      <w:pPr>
        <w:spacing w:before="60" w:after="60"/>
      </w:pPr>
      <w:r>
        <w:rPr>
          <w:rFonts w:ascii="Arial" w:cs="Arial" w:eastAsia="Arial" w:hAnsi="Arial"/>
          <w:b w:val="false"/>
          <w:bCs w:val="false"/>
          <w:i w:val="false"/>
          <w:iCs w:val="false"/>
          <w:sz w:val="20"/>
          <w:szCs w:val="20"/>
        </w:rPr>
        <w:t xml:space="preserve">The most dangerous fuse substitution error is treating current rating as a minimum threshold rather than an exact specification. Engineers sometimes reason: 'the circuit draws 2A, so a 3A fuse is a safe upgrade because it won't blow prematurely.' This reasoning is incorrect and potentially lethal.</w:t>
      </w:r>
    </w:p>
    <w:p>
      <w:pPr>
        <w:spacing w:before="60" w:after="60"/>
      </w:pPr>
      <w:r>
        <w:rPr>
          <w:rFonts w:ascii="Arial" w:cs="Arial" w:eastAsia="Arial" w:hAnsi="Arial"/>
          <w:b w:val="false"/>
          <w:bCs w:val="false"/>
          <w:i w:val="false"/>
          <w:iCs w:val="false"/>
          <w:sz w:val="20"/>
          <w:szCs w:val="20"/>
        </w:rPr>
        <w:t xml:space="preserve">The fuse's current rating defines the maximum normal operating current of the protected circuit — it was chosen by the original designer to be the minimum overcurrent protection for that specific wire gauge, component ratings, and fault scenario. A 3A fuse in a 2A circuit means: any fault that produces between 2A and 3A — including wiring shorts that would melt 20AWG wire — is not interrupted. The wire overheats, insulation melts, and a fire begins before the fuse clears.</w:t>
      </w:r>
    </w:p>
    <w:p>
      <w:pPr>
        <w:spacing w:before="60" w:after="60"/>
      </w:pPr>
      <w:r>
        <w:rPr>
          <w:rFonts w:ascii="Arial" w:cs="Arial" w:eastAsia="Arial" w:hAnsi="Arial"/>
          <w:b w:val="false"/>
          <w:bCs w:val="false"/>
          <w:i w:val="false"/>
          <w:iCs w:val="false"/>
          <w:sz w:val="20"/>
          <w:szCs w:val="20"/>
        </w:rPr>
        <w:t xml:space="preserve">The correct matching rule: current rating is Identity. The replacement must have the same current rating as the original. An acceptable exception: one step up (e.g., 2A → 2.5A) may be acceptable with engineering review when the original was known to be marginal and the wire gauge and component ratings support the increase — but this requires explicit engineering sign-off, not an automatic engine substitution.</w:t>
      </w:r>
    </w:p>
    <w:p>
      <w:pPr>
        <w:pStyle w:val="Heading2"/>
        <w:spacing w:before="200" w:after="100"/>
      </w:pPr>
      <w:r>
        <w:rPr>
          <w:rFonts w:ascii="Arial" w:cs="Arial" w:eastAsia="Arial" w:hAnsi="Arial"/>
          <w:b/>
          <w:bCs/>
          <w:color w:val="1F4E79"/>
          <w:sz w:val="22"/>
          <w:szCs w:val="22"/>
        </w:rPr>
        <w:t xml:space="preserve">2. Fast-Blow vs. Slow-Blow: The Speed Class Hard Gate</w:t>
      </w:r>
    </w:p>
    <w:p>
      <w:pPr>
        <w:spacing w:before="60" w:after="60"/>
      </w:pPr>
      <w:r>
        <w:rPr>
          <w:rFonts w:ascii="Arial" w:cs="Arial" w:eastAsia="Arial" w:hAnsi="Arial"/>
          <w:b w:val="false"/>
          <w:bCs w:val="false"/>
          <w:i w:val="false"/>
          <w:iCs w:val="false"/>
          <w:sz w:val="20"/>
          <w:szCs w:val="20"/>
        </w:rPr>
        <w:t xml:space="preserve">Speed class (fast-blow vs. slow-blow) is the most commonly misunderstood fuse parameter after current rating. The names are accurate descriptions of behavior, but the implications for circuit protection are exactly opposite depending on the application.</w:t>
      </w:r>
    </w:p>
    <w:p>
      <w:pPr>
        <w:spacing w:before="60" w:after="60"/>
      </w:pPr>
      <w:r>
        <w:rPr>
          <w:rFonts w:ascii="Arial" w:cs="Arial" w:eastAsia="Arial" w:hAnsi="Arial"/>
          <w:b w:val="false"/>
          <w:bCs w:val="false"/>
          <w:i w:val="false"/>
          <w:iCs w:val="false"/>
          <w:sz w:val="20"/>
          <w:szCs w:val="20"/>
        </w:rPr>
        <w:t xml:space="preserve">Fast-blow fuses (F designation, IEC 60127): clear within milliseconds at 2× rated current. Required for: semiconductor protection (MOSFETs, BJTs, diodes cannot survive sustained overcurrent), signal circuits, precision analog circuits, any application where components are sensitive to overcurrent duration. The fuse must clear before the protected component is destroyed.</w:t>
      </w:r>
    </w:p>
    <w:p>
      <w:pPr>
        <w:spacing w:before="60" w:after="60"/>
      </w:pPr>
      <w:r>
        <w:rPr>
          <w:rFonts w:ascii="Arial" w:cs="Arial" w:eastAsia="Arial" w:hAnsi="Arial"/>
          <w:b w:val="false"/>
          <w:bCs w:val="false"/>
          <w:i w:val="false"/>
          <w:iCs w:val="false"/>
          <w:sz w:val="20"/>
          <w:szCs w:val="20"/>
        </w:rPr>
        <w:t xml:space="preserve">Slow-blow / Time-delay fuses (T designation, IEC 60127): withstand 2× rated current for several seconds before clearing, but clear quickly at 10× or more. Required for: motor circuits (inrush at startup can be 5–10× rated current for 0.5–2 seconds), transformer primaries, capacitive loads that draw high inrush at power-on, any application with legitimate high-current transients during normal operation.</w:t>
      </w:r>
    </w:p>
    <w:p>
      <w:pPr>
        <w:spacing w:before="60" w:after="60"/>
      </w:pPr>
      <w:r>
        <w:rPr>
          <w:rFonts w:ascii="Arial" w:cs="Arial" w:eastAsia="Arial" w:hAnsi="Arial"/>
          <w:b w:val="false"/>
          <w:bCs w:val="false"/>
          <w:i w:val="false"/>
          <w:iCs w:val="false"/>
          <w:sz w:val="20"/>
          <w:szCs w:val="20"/>
        </w:rPr>
        <w:t xml:space="preserve">Cross-substitution failures are predictable: slow-blow in a semiconductor circuit means the semiconductor is destroyed before the fuse clears. Fast-blow in a motor circuit means the fuse blows every time the motor starts. Neither failure is subtle — both are immediate and obvious. The engine must BLOCK these substitutions.</w:t>
      </w:r>
    </w:p>
    <w:p>
      <w:pPr>
        <w:pStyle w:val="Heading2"/>
        <w:spacing w:before="200" w:after="100"/>
      </w:pPr>
      <w:r>
        <w:rPr>
          <w:rFonts w:ascii="Arial" w:cs="Arial" w:eastAsia="Arial" w:hAnsi="Arial"/>
          <w:b/>
          <w:bCs/>
          <w:color w:val="1F4E79"/>
          <w:sz w:val="22"/>
          <w:szCs w:val="22"/>
        </w:rPr>
        <w:t xml:space="preserve">3. I²t Let-Through Energy: The Semiconductor Protection Spec</w:t>
      </w:r>
    </w:p>
    <w:p>
      <w:pPr>
        <w:spacing w:before="60" w:after="60"/>
      </w:pPr>
      <w:r>
        <w:rPr>
          <w:rFonts w:ascii="Arial" w:cs="Arial" w:eastAsia="Arial" w:hAnsi="Arial"/>
          <w:b w:val="false"/>
          <w:bCs w:val="false"/>
          <w:i w:val="false"/>
          <w:iCs w:val="false"/>
          <w:sz w:val="20"/>
          <w:szCs w:val="20"/>
        </w:rPr>
        <w:t xml:space="preserve">I²t (ampere-squared seconds) is the thermal energy delivered to the circuit from fault initiation until the fuse fully clears. It determines whether components downstream survive the fault.</w:t>
      </w:r>
    </w:p>
    <w:p>
      <w:pPr>
        <w:spacing w:before="60" w:after="60"/>
      </w:pPr>
      <w:r>
        <w:rPr>
          <w:rFonts w:ascii="Arial" w:cs="Arial" w:eastAsia="Arial" w:hAnsi="Arial"/>
          <w:b w:val="false"/>
          <w:bCs w:val="false"/>
          <w:i w:val="false"/>
          <w:iCs w:val="false"/>
          <w:sz w:val="20"/>
          <w:szCs w:val="20"/>
        </w:rPr>
        <w:t xml:space="preserve">The formula: I²t = ∫i²dt, integrated from fault initiation to arc extinction. This energy heats every conductor, junction, and resistor in the fault current path. Semiconductors have their own I²t rating (sometimes called surge current rating) — if the fuse's I²t exceeds the semiconductor's I²t, the semiconductor is destroyed even though the fuse eventually clears.</w:t>
      </w:r>
    </w:p>
    <w:p>
      <w:pPr>
        <w:spacing w:before="60" w:after="60"/>
      </w:pPr>
      <w:r>
        <w:rPr>
          <w:rFonts w:ascii="Arial" w:cs="Arial" w:eastAsia="Arial" w:hAnsi="Arial"/>
          <w:b w:val="false"/>
          <w:bCs w:val="false"/>
          <w:i w:val="false"/>
          <w:iCs w:val="false"/>
          <w:sz w:val="20"/>
          <w:szCs w:val="20"/>
        </w:rPr>
        <w:t xml:space="preserve">Example: a MOSFET rated for I²t = 50 A²s with a fault current of 100A. A slow-blow 5A fuse takes 10ms to clear at 100A — I²t = 100² × 0.010 = 100 A²s. The MOSFET is destroyed. A fast-blow 5A fuse clears in 1ms at 100A — I²t = 100² × 0.001 = 10 A²s. The MOSFET survives.</w:t>
      </w:r>
    </w:p>
    <w:p>
      <w:pPr>
        <w:spacing w:before="60" w:after="60"/>
      </w:pPr>
      <w:r>
        <w:rPr>
          <w:rFonts w:ascii="Arial" w:cs="Arial" w:eastAsia="Arial" w:hAnsi="Arial"/>
          <w:b w:val="false"/>
          <w:bCs w:val="false"/>
          <w:i w:val="false"/>
          <w:iCs w:val="false"/>
          <w:sz w:val="20"/>
          <w:szCs w:val="20"/>
        </w:rPr>
        <w:t xml:space="preserve">For semiconductor protection: specify the replacement fuse's maximum I²t and verify it is ≤ the protected semiconductor's I²t rating. This is the only reliable way to ensure the fuse actually protects the component.</w:t>
      </w:r>
    </w:p>
    <w:p>
      <w:pPr>
        <w:pStyle w:val="Heading2"/>
        <w:spacing w:before="200" w:after="100"/>
      </w:pPr>
      <w:r>
        <w:rPr>
          <w:rFonts w:ascii="Arial" w:cs="Arial" w:eastAsia="Arial" w:hAnsi="Arial"/>
          <w:b/>
          <w:bCs/>
          <w:color w:val="1F4E79"/>
          <w:sz w:val="22"/>
          <w:szCs w:val="22"/>
        </w:rPr>
        <w:t xml:space="preserve">4. DC vs. AC Voltage Rating: The Solar and Battery Application Trap</w:t>
      </w:r>
    </w:p>
    <w:p>
      <w:pPr>
        <w:spacing w:before="60" w:after="60"/>
      </w:pPr>
      <w:r>
        <w:rPr>
          <w:rFonts w:ascii="Arial" w:cs="Arial" w:eastAsia="Arial" w:hAnsi="Arial"/>
          <w:b w:val="false"/>
          <w:bCs w:val="false"/>
          <w:i w:val="false"/>
          <w:iCs w:val="false"/>
          <w:sz w:val="20"/>
          <w:szCs w:val="20"/>
        </w:rPr>
        <w:t xml:space="preserve">Fuse voltage ratings are not interchangeable between AC and DC. A fuse rated 250VAC may be rated for only 32VDC, 125VDC, or not rated for DC at all.</w:t>
      </w:r>
    </w:p>
    <w:p>
      <w:pPr>
        <w:spacing w:before="60" w:after="60"/>
      </w:pPr>
      <w:r>
        <w:rPr>
          <w:rFonts w:ascii="Arial" w:cs="Arial" w:eastAsia="Arial" w:hAnsi="Arial"/>
          <w:b w:val="false"/>
          <w:bCs w:val="false"/>
          <w:i w:val="false"/>
          <w:iCs w:val="false"/>
          <w:sz w:val="20"/>
          <w:szCs w:val="20"/>
        </w:rPr>
        <w:t xml:space="preserve">The reason: AC current crosses zero 100 or 120 times per second. At each zero crossing, the arc in the fuse body extinguishes naturally. DC has no zero crossing — once an arc forms, it sustains itself as long as sufficient voltage is available to maintain ionization. Extinguishing a DC arc requires either the arc to cool below ionization temperature (takes longer) or sand fill to absorb the arc energy.</w:t>
      </w:r>
    </w:p>
    <w:p>
      <w:pPr>
        <w:spacing w:before="60" w:after="60"/>
      </w:pPr>
      <w:r>
        <w:rPr>
          <w:rFonts w:ascii="Arial" w:cs="Arial" w:eastAsia="Arial" w:hAnsi="Arial"/>
          <w:b w:val="false"/>
          <w:bCs w:val="false"/>
          <w:i w:val="false"/>
          <w:iCs w:val="false"/>
          <w:sz w:val="20"/>
          <w:szCs w:val="20"/>
        </w:rPr>
        <w:t xml:space="preserve">In solar PV systems: strings commonly operate at 600–1500VDC. A standard glass 250VAC cartridge fuse will not reliably interrupt a 600VDC fault — the arc may sustain indefinitely, the glass body shatters, and the fault current continues. DC-rated fuses for solar use ceramic sand-filled bodies and are specifically tested and rated for DC interruption at the system voltage.</w:t>
      </w:r>
    </w:p>
    <w:p>
      <w:pPr>
        <w:spacing w:before="60" w:after="60"/>
      </w:pPr>
      <w:r>
        <w:rPr>
          <w:rFonts w:ascii="Arial" w:cs="Arial" w:eastAsia="Arial" w:hAnsi="Arial"/>
          <w:b w:val="false"/>
          <w:bCs w:val="false"/>
          <w:i w:val="false"/>
          <w:iCs w:val="false"/>
          <w:sz w:val="20"/>
          <w:szCs w:val="20"/>
        </w:rPr>
        <w:t xml:space="preserve">Always check the DC voltage rating explicitly. In EV, battery storage, and solar applications, the DC rating — not the AC rating — is the binding constraint.</w:t>
      </w:r>
    </w:p>
    <w:p>
      <w:pPr>
        <w:spacing w:before="80" w:after="80"/>
      </w:pPr>
      <w:r>
        <w:t xml:space="preserve"/>
      </w:r>
    </w:p>
    <w:p>
      <w:pPr>
        <w:pStyle w:val="Heading1"/>
        <w:spacing w:before="200" w:after="100"/>
      </w:pPr>
      <w:r>
        <w:rPr>
          <w:rFonts w:ascii="Arial" w:cs="Arial" w:eastAsia="Arial" w:hAnsi="Arial"/>
          <w:b/>
          <w:bCs/>
          <w:color w:val="1F4E79"/>
          <w:sz w:val="28"/>
          <w:szCs w:val="28"/>
        </w:rPr>
        <w:t xml:space="preserve">5. Application Context Questions</w:t>
      </w:r>
    </w:p>
    <w:p>
      <w:pPr>
        <w:spacing w:before="60" w:after="60"/>
      </w:pPr>
      <w:r>
        <w:rPr>
          <w:rFonts w:ascii="Arial" w:cs="Arial" w:eastAsia="Arial" w:hAnsi="Arial"/>
          <w:b w:val="false"/>
          <w:bCs w:val="false"/>
          <w:i w:val="false"/>
          <w:iCs w:val="false"/>
          <w:sz w:val="20"/>
          <w:szCs w:val="20"/>
        </w:rPr>
        <w:t xml:space="preserve">The orchestrator asks these three questions before running the matching engine. For the full attribute effect tables see docs/application-context-attribute-map.md, section '39. Fuses (Family D2)'.</w:t>
      </w:r>
    </w:p>
    <w:p>
      <w:pPr>
        <w:spacing w:before="80" w:after="80"/>
      </w:pPr>
      <w:r>
        <w:t xml:space="preserve"/>
      </w:r>
    </w:p>
    <w:p>
      <w:pPr>
        <w:pStyle w:val="Heading2"/>
        <w:spacing w:before="200" w:after="100"/>
      </w:pPr>
      <w:r>
        <w:rPr>
          <w:rFonts w:ascii="Arial" w:cs="Arial" w:eastAsia="Arial" w:hAnsi="Arial"/>
          <w:b/>
          <w:bCs/>
          <w:color w:val="1F4E79"/>
          <w:sz w:val="22"/>
          <w:szCs w:val="22"/>
        </w:rPr>
        <w:t xml:space="preserve">Question 1: What is the supply type and voltage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Answer</w:t>
            </w:r>
          </w:p>
        </w:tc>
        <w:tc>
          <w:tcPr>
            <w:tcW w:type="dxa" w:w="75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Effect on Matching</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AC mains-connected (120VAC, 240VAC, 277VAC supply circuit)</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voltage_rating_v → escalate_to_mandatory ≥ circuit voltage (120V min for 120VAC, 250V min for 240VAC). breaking_capacity_a → escalate_to_mandatory ≥ available fault current (minimum 1500A IEC, 10000A UL for branch circuits). safety_certification → escalate_to_mandatory (UL248 for North America, IEC 60127 for international — must carry required mark). body_material → escalate_to_primary (ceramic/sand-fill preferred for high breaking capacity). voltage_type → confirm AC or AC+DC rated.</w:t>
            </w:r>
          </w:p>
        </w:tc>
      </w:tr>
      <w:tr>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Low-voltage DC board-level (≤60VDC — PCB supply, battery, automotive 12V/24V/48V)</w:t>
            </w:r>
          </w:p>
        </w:tc>
        <w:tc>
          <w:tcPr>
            <w:tcW w:type="dxa" w:w="75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voltage_type → escalate_to_mandatory + confirm DC rating ≥ circuit voltage. breaking_capacity_a → escalate_to_primary (verify ≥ available fault current at board power supply). safety_certification → active at default. For automotive 12V/24V: aec_q200 → active pending Q3 answer.</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High-voltage DC (&gt;60VDC — solar PV, EV battery, industrial DC bus)</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voltage_type → escalate_to_mandatory + confirm DC rating ≥ system voltage. body_material → escalate_to_mandatory (ceramic sand-fill required — glass cannot extinguish high-voltage DC arc). breaking_capacity_a → escalate_to_mandatory. Non-DC-rated fuses and glass-body fuses → BLOCKED unconditionally.</w:t>
            </w:r>
          </w:p>
        </w:tc>
      </w:tr>
    </w:tbl>
    <w:p>
      <w:pPr>
        <w:spacing w:before="80" w:after="80"/>
      </w:pPr>
      <w:r>
        <w:t xml:space="preserve"/>
      </w:r>
    </w:p>
    <w:p>
      <w:pPr>
        <w:pStyle w:val="Heading2"/>
        <w:spacing w:before="200" w:after="100"/>
      </w:pPr>
      <w:r>
        <w:rPr>
          <w:rFonts w:ascii="Arial" w:cs="Arial" w:eastAsia="Arial" w:hAnsi="Arial"/>
          <w:b/>
          <w:bCs/>
          <w:color w:val="1F4E79"/>
          <w:sz w:val="22"/>
          <w:szCs w:val="22"/>
        </w:rPr>
        <w:t xml:space="preserve">Question 2: What is the fuse protecting?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Answer</w:t>
            </w:r>
          </w:p>
        </w:tc>
        <w:tc>
          <w:tcPr>
            <w:tcW w:type="dxa" w:w="75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Effect on Matching</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Semiconductor protection (MOSFET, IGBT, diode, IC — component cannot survive sustained overcurrent)</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speed_class → escalate_to_mandatory Fast-blow (F) — slow-blow BLOCKED. i2t_rating_a2s → escalate_to_mandatory + blockOnMissing with threshold ≤ protected component's I²t rating. melting_i2t_a2s → escalate_to_primary. Any replacement with I²t &gt; protected component's I²t rating → BLOCKED regardless of current and voltage match.</w:t>
            </w:r>
          </w:p>
        </w:tc>
      </w:tr>
      <w:tr>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Motor / transformer / inductive load (legitimate inrush current during normal operation)</w:t>
            </w:r>
          </w:p>
        </w:tc>
        <w:tc>
          <w:tcPr>
            <w:tcW w:type="dxa" w:w="75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speed_class → escalate_to_mandatory Slow-blow (T or TT) — fast-blow BLOCKED (trips on normal inrush). i2t_rating_a2s → active at default (inrush tolerance, not semiconductor protection). Verify rated current accounts for steady-state load, not just inrush peak.</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General wiring / overcurrent protection (cable and wiring protection, not specific to semiconductors)</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speed_class → active at default (match original class). i2t_rating_a2s → Application Review. Safety certification → active. Breaking capacity → escalate_to_primary.</w:t>
            </w:r>
          </w:p>
        </w:tc>
      </w:tr>
    </w:tbl>
    <w:p>
      <w:pPr>
        <w:spacing w:before="80" w:after="80"/>
      </w:pPr>
      <w:r>
        <w:t xml:space="preserve"/>
      </w:r>
    </w:p>
    <w:p>
      <w:pPr>
        <w:pStyle w:val="Heading2"/>
        <w:spacing w:before="200" w:after="100"/>
      </w:pPr>
      <w:r>
        <w:rPr>
          <w:rFonts w:ascii="Arial" w:cs="Arial" w:eastAsia="Arial" w:hAnsi="Arial"/>
          <w:b/>
          <w:bCs/>
          <w:color w:val="1F4E79"/>
          <w:sz w:val="22"/>
          <w:szCs w:val="22"/>
        </w:rPr>
        <w:t xml:space="preserve">Question 3: Is this an automotive application (AEC-Q200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Answer</w:t>
            </w:r>
          </w:p>
        </w:tc>
        <w:tc>
          <w:tcPr>
            <w:tcW w:type="dxa" w:w="75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Effect on Matching</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Yes — automotive application (AEC-Q200 required)</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aec_q200 → escalate_to_mandatory + blockOnMissing. Non-AEC parts removed from pool before scoring. operating_temp_range → escalate_to_mandatory covering −40°C to +125°C. For automotive blade fuses (Mini/Regular/Maxi): package_format → confirm blade type matches (ATM/ATC/APX). Verify DC voltage rating for 48V mild-hybrid systems.</w:t>
            </w:r>
          </w:p>
        </w:tc>
      </w:tr>
      <w:tr>
        <w:tc>
          <w:tcPr>
            <w:tcW w:type="dxa" w:w="1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No — commercial / industrial</w:t>
            </w:r>
          </w:p>
        </w:tc>
        <w:tc>
          <w:tcPr>
            <w:tcW w:type="dxa" w:w="75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aec_q200 → Operational (informational). Standard environmental matching.</w:t>
            </w:r>
          </w:p>
        </w:tc>
      </w:tr>
    </w:tbl>
    <w:p>
      <w:pPr>
        <w:spacing w:before="80" w:after="80"/>
      </w:pPr>
      <w:r>
        <w:t xml:space="preserve"/>
      </w:r>
    </w:p>
    <w:p>
      <w:pPr>
        <w:pStyle w:val="Heading1"/>
        <w:spacing w:before="200" w:after="100"/>
      </w:pPr>
      <w:r>
        <w:rPr>
          <w:rFonts w:ascii="Arial" w:cs="Arial" w:eastAsia="Arial" w:hAnsi="Arial"/>
          <w:b/>
          <w:bCs/>
          <w:color w:val="1F4E79"/>
          <w:sz w:val="28"/>
          <w:szCs w:val="28"/>
        </w:rPr>
        <w:t xml:space="preserve">6. Digikey Category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700"/>
        <w:gridCol w:w="3060"/>
      </w:tblGrid>
      <w:tr>
        <w:tc>
          <w:tcPr>
            <w:tcW w:type="dxa" w:w="8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Family</w:t>
            </w:r>
          </w:p>
        </w:tc>
        <w:tc>
          <w:tcPr>
            <w:tcW w:type="dxa" w:w="28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Digikey Category</w:t>
            </w:r>
          </w:p>
        </w:tc>
        <w:tc>
          <w:tcPr>
            <w:tcW w:type="dxa" w:w="270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Key Parametric Fields Present</w:t>
            </w:r>
          </w:p>
        </w:tc>
        <w:tc>
          <w:tcPr>
            <w:tcW w:type="dxa" w:w="3060"/>
            <w:gridSpan w:val="1"/>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r>
              <w:rPr>
                <w:rFonts w:ascii="Arial" w:cs="Arial" w:eastAsia="Arial" w:hAnsi="Arial"/>
                <w:b/>
                <w:bCs/>
                <w:color w:val="FFFFFF"/>
                <w:sz w:val="18"/>
                <w:szCs w:val="18"/>
              </w:rPr>
              <w:t xml:space="preserve">Missing from Digikey</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D2 (Cartridge / SMD)</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Circuit Protection — Fuses</w:t>
            </w:r>
          </w:p>
        </w:tc>
        <w:tc>
          <w:tcPr>
            <w:tcW w:type="dxa" w:w="2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Current rating, voltage rating, speed class, breaking capacity, package, mounting, certification</w:t>
            </w:r>
          </w:p>
        </w:tc>
        <w:tc>
          <w:tcPr>
            <w:tcW w:type="dxa" w:w="30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I²t (often absent), melting I²t, derating factor at temperature, DC-specific voltage rating (sometimes listed as separate field, sometimes not)</w:t>
            </w:r>
          </w:p>
        </w:tc>
      </w:tr>
      <w:tr>
        <w:tc>
          <w:tcPr>
            <w:tcW w:type="dxa" w:w="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D2 (Automotive Blade)</w:t>
            </w:r>
          </w:p>
        </w:tc>
        <w:tc>
          <w:tcPr>
            <w:tcW w:type="dxa" w:w="28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Circuit Protection — Automotive Fuses</w:t>
            </w:r>
          </w:p>
        </w:tc>
        <w:tc>
          <w:tcPr>
            <w:tcW w:type="dxa" w:w="270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Current rating, voltage, blade type (Mini/Regular/Maxi), AEC-Q200</w:t>
            </w:r>
          </w:p>
        </w:tc>
        <w:tc>
          <w:tcPr>
            <w:tcW w:type="dxa" w:w="3060"/>
            <w:gridSpan w:val="1"/>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vAlign w:val="top"/>
          </w:tcPr>
          <w:p>
            <w:r>
              <w:rPr>
                <w:rFonts w:ascii="Arial" w:cs="Arial" w:eastAsia="Arial" w:hAnsi="Arial"/>
                <w:b w:val="false"/>
                <w:bCs w:val="false"/>
                <w:color w:val="000000"/>
                <w:sz w:val="18"/>
                <w:szCs w:val="18"/>
              </w:rPr>
              <w:t xml:space="preserve">I²t not typically listed for blade fuses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180" w:after="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2026-03-11T16:36:30.403Z</dcterms:created>
  <dcterms:modified xsi:type="dcterms:W3CDTF">2026-03-11T16:36:30.404Z</dcterms:modified>
</cp:coreProperties>
</file>

<file path=docProps/custom.xml><?xml version="1.0" encoding="utf-8"?>
<Properties xmlns="http://schemas.openxmlformats.org/officeDocument/2006/custom-properties" xmlns:vt="http://schemas.openxmlformats.org/officeDocument/2006/docPropsVTypes"/>
</file>