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svg" ContentType="image/svg+xml"/>
  <Default Extension="tiff" ContentType="image/tiff"/>
  <Default Extension="bin" ContentType="application/vnd.openxmlformats-officedocument.oleObject"/>
  <Default Extension="wmf" ContentType="image/x-wmf"/>
  <Default Extension="emf" ContentType="image/x-emf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pStyle w:val="Heading1"/>
      </w:pPr>
      <w:r>
        <w:rPr>
          <w:bCs/>
          <w:b/>
          <w:color w:val="1F3864"/>
          <w:rFonts w:ascii="Arial" w:cs="Arial" w:eastAsia="Arial" w:hAnsi="Arial"/>
          <w:sz w:val="36"/>
          <w:szCs w:val="36"/>
        </w:rPr>
        <w:t>Aluminum Electrolytic Capacitors</w:t>
      </w:r>
    </w:p>
    <w:p>
      <w:pPr>
        <w:spacing w:after="60"/>
      </w:pPr>
      <w:r>
        <w:rPr>
          <w:color w:val="666666"/>
          <w:rFonts w:ascii="Arial" w:cs="Arial" w:eastAsia="Arial" w:hAnsi="Arial"/>
          <w:sz w:val="22"/>
          <w:szCs w:val="22"/>
        </w:rPr>
        <w:t>DigiKey Family ID: 58</w:t>
      </w:r>
    </w:p>
    <w:p>
      <w:pPr>
        <w:spacing w:after="240"/>
      </w:pPr>
      <w:r>
        <w:rPr>
          <w:iCs/>
          <w:i/>
          <w:color w:val="666666"/>
          <w:rFonts w:ascii="Arial" w:cs="Arial" w:eastAsia="Arial" w:hAnsi="Arial"/>
          <w:sz w:val="22"/>
          <w:szCs w:val="22"/>
        </w:rPr>
        <w:t>Hard Logic Filters for Replacement Part Validation</w:t>
      </w:r>
    </w:p>
    <w:p>
      <w:pPr>
        <w:spacing w:after="240"/>
        <w:rPr>
          <w:i w:val="0"/>
        </w:rPr>
      </w:pPr>
      <w:r>
        <w:rPr>
          <w:i w:val="0"/>
          <w:color w:val="666666"/>
          <w:rFonts w:ascii="Arial"/>
          <w:sz w:val="22"/>
        </w:rPr>
        <w:t>Things that are specific to this component family:</w:t>
      </w:r>
    </w:p>
    <w:p>
      <w:pPr>
        <w:numPr>
          <w:ilvl w:val="0"/>
          <w:numId w:val="1"/>
        </w:numPr>
        <w:spacing w:after="240"/>
        <w:rPr>
          <w:i w:val="0"/>
        </w:rPr>
      </w:pPr>
      <w:r>
        <w:rPr>
          <w:i w:val="0"/>
          <w:color w:val="666666"/>
          <w:rFonts w:ascii="Arial"/>
          <w:sz w:val="22"/>
        </w:rPr>
        <w:t>Ripple Current Rating — arguably the single most important reliability parameter for electrolytics. Exceeding it causes internal heating and accelerated electrolyte dry-out, leading to premature failure.</w:t>
      </w:r>
    </w:p>
    <w:p>
      <w:pPr>
        <w:numPr>
          <w:ilvl w:val="0"/>
          <w:numId w:val="1"/>
        </w:numPr>
        <w:spacing w:after="240"/>
        <w:rPr>
          <w:i w:val="0"/>
        </w:rPr>
      </w:pPr>
      <w:r>
        <w:rPr>
          <w:i w:val="0"/>
          <w:color w:val="666666"/>
          <w:rFonts w:ascii="Arial"/>
          <w:sz w:val="22"/>
        </w:rPr>
        <w:t>Lifetime / Endurance — unique to electrolytics since the wet electrolyte evaporates over time. Rated in hours at max temp, with the Arrhenius doubling rule explained in the notes.</w:t>
      </w:r>
    </w:p>
    <w:p>
      <w:pPr>
        <w:numPr>
          <w:ilvl w:val="0"/>
          <w:numId w:val="1"/>
        </w:numPr>
        <w:spacing w:after="240"/>
        <w:rPr>
          <w:i w:val="0"/>
        </w:rPr>
      </w:pPr>
      <w:r>
        <w:rPr>
          <w:i w:val="0"/>
          <w:color w:val="666666"/>
          <w:rFonts w:ascii="Arial"/>
          <w:sz w:val="22"/>
        </w:rPr>
        <w:t>Leakage Current — inherent to aluminum oxide dielectrics and critical for battery-powered or high-impedance circuits.</w:t>
      </w:r>
    </w:p>
    <w:p>
      <w:pPr>
        <w:numPr>
          <w:ilvl w:val="0"/>
          <w:numId w:val="1"/>
        </w:numPr>
        <w:spacing w:after="240"/>
        <w:rPr>
          <w:i w:val="0"/>
        </w:rPr>
      </w:pPr>
      <w:r>
        <w:rPr>
          <w:i w:val="0"/>
          <w:color w:val="666666"/>
          <w:rFonts w:ascii="Arial"/>
          <w:sz w:val="22"/>
        </w:rPr>
        <w:t>Dissipation Factor (tan δ) — more relevant here than in ceramics due to the lossy electrolyte.</w:t>
      </w:r>
    </w:p>
    <w:p>
      <w:pPr>
        <w:numPr>
          <w:ilvl w:val="0"/>
          <w:numId w:val="1"/>
        </w:numPr>
        <w:spacing w:after="240"/>
        <w:rPr>
          <w:i w:val="0"/>
        </w:rPr>
      </w:pPr>
      <w:r>
        <w:rPr>
          <w:i w:val="0"/>
          <w:color w:val="666666"/>
          <w:rFonts w:ascii="Arial"/>
          <w:sz w:val="22"/>
        </w:rPr>
        <w:t>Polarization — treated as exact match since substituting a polarized cap for a bipolar one (or vice versa) can cause catastrophic failure.</w:t>
      </w:r>
    </w:p>
    <w:p>
      <w:pPr>
        <w:numPr>
          <w:ilvl w:val="0"/>
          <w:numId w:val="1"/>
        </w:numPr>
        <w:spacing w:after="240"/>
        <w:rPr>
          <w:i w:val="0"/>
        </w:rPr>
      </w:pPr>
      <w:r>
        <w:rPr>
          <w:i w:val="0"/>
          <w:color w:val="666666"/>
          <w:rFonts w:ascii="Arial"/>
          <w:sz w:val="22"/>
        </w:rPr>
        <w:t>Lead Spacing — a constraint that doesn't exist for SMD ceramics but is critical for through-hole electrolytics, and it's coupled to diameter.</w:t>
      </w:r>
    </w:p>
    <w:p>
      <w:pPr>
        <w:numPr>
          <w:ilvl w:val="0"/>
          <w:numId w:val="1"/>
        </w:numPr>
        <w:spacing w:after="240"/>
        <w:rPr>
          <w:i w:val="0"/>
        </w:rPr>
      </w:pPr>
      <w:r>
        <w:rPr>
          <w:i w:val="0"/>
          <w:color w:val="666666"/>
          <w:rFonts w:ascii="Arial"/>
          <w:sz w:val="22"/>
        </w:rPr>
        <w:t>Diameter + Height — both as separate fit constraints, since electrolytics are physically much larger and more variable in size than MLCCs.</w:t>
      </w:r>
    </w:p>
    <w:p>
      <w:pPr>
        <w:numPr>
          <w:ilvl w:val="0"/>
          <w:numId w:val="1"/>
        </w:numPr>
        <w:spacing w:after="240"/>
        <w:rPr>
          <w:i w:val="0"/>
        </w:rPr>
      </w:pPr>
      <w:r>
        <w:rPr>
          <w:i w:val="0"/>
          <w:color w:val="666666"/>
          <w:rFonts w:ascii="Arial"/>
          <w:sz w:val="22"/>
        </w:rPr>
        <w:t>Capacitor Type/Series — captures the sub-category hierarchy (standard → low-ESR → long-life, etc.)</w:t>
      </w:r>
    </w:p>
    <w:tbl>
      <w:tblPr>
        <w:tblW w:type="dxa" w:w="9360"/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800"/>
        <w:gridCol w:w="1200"/>
        <w:gridCol w:w="1560"/>
        <w:gridCol w:w="48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1F3864" w:val="clear"/>
            <w:vAlign w:val="center"/>
            <w:tcW w:w="1800" w:type="dxa"/>
          </w:tcPr>
          <w:p>
            <w:r>
              <w:rPr>
                <w:bCs/>
                <w:b/>
                <w:color w:val="FFFFFF"/>
                <w:rFonts w:ascii="Arial" w:cs="Arial" w:eastAsia="Arial" w:hAnsi="Arial"/>
                <w:sz w:val="20"/>
                <w:szCs w:val="20"/>
              </w:rPr>
              <w:t>Attribute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1F3864" w:val="clear"/>
            <w:vAlign w:val="center"/>
            <w:tcW w:w="1200" w:type="dxa"/>
          </w:tcPr>
          <w:p>
            <w:r>
              <w:rPr>
                <w:bCs/>
                <w:b/>
                <w:color w:val="FFFFFF"/>
                <w:rFonts w:ascii="Arial" w:cs="Arial" w:eastAsia="Arial" w:hAnsi="Arial"/>
                <w:sz w:val="20"/>
                <w:szCs w:val="20"/>
              </w:rPr>
              <w:t>Logic 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1F3864" w:val="clear"/>
            <w:vAlign w:val="center"/>
            <w:tcW w:w="1560" w:type="dxa"/>
          </w:tcPr>
          <w:p>
            <w:r>
              <w:rPr>
                <w:bCs/>
                <w:b/>
                <w:color w:val="FFFFFF"/>
                <w:rFonts w:ascii="Arial" w:cs="Arial" w:eastAsia="Arial" w:hAnsi="Arial"/>
                <w:sz w:val="20"/>
                <w:szCs w:val="20"/>
              </w:rPr>
              <w:t>Matching Rule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1F3864" w:val="clear"/>
            <w:vAlign w:val="center"/>
            <w:tcW w:w="4800" w:type="dxa"/>
          </w:tcPr>
          <w:p>
            <w:r>
              <w:rPr>
                <w:bCs/>
                <w:b/>
                <w:color w:val="FFFFFF"/>
                <w:rFonts w:ascii="Arial" w:cs="Arial" w:eastAsia="Arial" w:hAnsi="Arial"/>
                <w:sz w:val="20"/>
                <w:szCs w:val="20"/>
              </w:rPr>
              <w:t>Engineering Reasoning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Capacitance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Identity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Exact Match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A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100µF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capacitor must be replaced by a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100µF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capacitor. Normalize values before comparison (e.g., 0.1mF = 100µF). Electrolytic values follow the E-series but with wider steps than ceramics.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Voltage Rating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≥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The replacement must handle at least the same voltage. A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50V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cap can replace a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25V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one. </w:t>
            </w: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Note: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higher voltage-rated aluminum electrolytics are physically larger, so also verify the diameter and height fit constraints.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Polarization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Identity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Exact Match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Most aluminum electrolytics are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polarized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. Bipolar (non-polar) variants exist for AC-coupled or signal-path applications. A polarized cap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cannot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replace a bipolar one (reverse voltage will destroy it). A bipolar cap can technically replace a polarized one, but is often larger and more expensive—treat as exact match to avoid unnecessary substitution.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Mounting 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Identity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Exact Match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Aluminum electrolytics come in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through-hole (radial/axial)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and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SMD (V-chip)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packages. These are not interchangeable. A radial leaded cap cannot replace an SMD cap without board rework. Match the mounting type exactly.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Diameter (Can Size)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Fit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≤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The can diameter must fit within the PCB footprint and not encroach on adjacent components. For through-hole, the lead spacing is tied to diameter. For SMD, the pad pattern is diameter-specific. A smaller or equal diameter is safe; a larger one may not fit. Common sizes: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5mm, 6.3mm, 8mm, 10mm, 12.5mm, 16mm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Height (Seated Max)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Fit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≤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Critical for enclosure clearance. Aluminum electrolytics are among the tallest components on a board. Higher capacitance and voltage ratings generally mean taller cans. Always verify height when substituting with a higher voltage-rated part.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Lead Spacing (Through-Hole)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Identity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Exact Match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For radial leaded parts, the lead spacing (pitch) must match the PCB hole pattern. Common pitches: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2mm, 2.5mm, 3.5mm, 5mm, 7.5mm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. Lead spacing is directly tied to can diameter—a different diameter often means a different pitch, creating a double constraint.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Tolerance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≤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A tighter tolerance is always acceptable. Aluminum electrolytics typically have wide tolerances: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±20% (M)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is standard. Some precision or low-cost parts may be rated at </w:t>
            </w: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+50%/−20%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(asymmetric). If the original has an asymmetric tolerance, ensure the replacement covers at least the same range.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ESR (Equivalent Series Resistance)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≤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ESR is one of the most critical parameters for aluminum electrolytics, especially in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power supply output filtering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. High ESR causes voltage ripple and heat generation.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Low-ESR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series (e.g., Panasonic FR, Nichicon UHE) are not interchangeable with standard series. Always compare ESR at the same frequency and temperature (typically 100kHz, 20°C).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Ripple Current Rating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≥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The maximum RMS ripple current the cap can handle without exceeding its thermal limits. </w:t>
            </w: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This is the #1 reliability driver for electrolytics.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Exceeding the ripple current rating causes internal heating, accelerated electrolyte evaporation, and premature failure. A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2A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rated cap can replace a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1.5A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one. Always compare at the same frequency and temperature.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Impedance (at freq.)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≤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Impedance combines ESR and reactance at a given frequency. Lower impedance means better high-frequency filtering. Particularly important at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100kHz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for switching power supply applications. Some datasheets specify impedance instead of (or in addition to) ESR—use whichever is available for comparison.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Dissipation Factor (tan δ)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≤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A measure of energy loss in the capacitor, typically specified at 120Hz and 20°C. Lower is better. Standard aluminum electrolytics range from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0.05 to 0.30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depending on capacitance and voltage. A higher dissipation factor means more heat generation under AC ripple.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Leakage Current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≤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Aluminum electrolytics have inherent DC leakage through the oxide dielectric. Lower is better. Typically specified as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I = 0.01CV or 3µA (whichever is greater)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after 2–5 minutes of applied voltage. Critical in battery-powered, sleep-mode, or high-impedance circuits where leakage drains energy or introduces offset.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Lifetime / Endurance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≥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Rated in hours at maximum temperature (e.g.,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2000 hrs at 105°C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or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10,000 hrs at 105°C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). This is the expected useful life before electrolyte dry-out causes capacitance loss and ESR rise. Longer is better. Lifetime roughly doubles for every 10°C below the rated temperature (Arrhenius rule).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Operating Temp (Max)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≥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Standard grades are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85°C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and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105°C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; some high-reliability parts are rated to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125°C or 150°C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. A 105°C cap can replace an 85°C one (and will also last longer at the same operating temp due to the Arrhenius relationship). Never downgrade the temperature rating.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Capacitor Type / Series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Identity (Upgrade Only)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= or ↑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Within aluminum electrolytics, there are sub-categories: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standard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low-ESR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low-leakage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high-ripple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, and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long-life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. A low-ESR cap can replace a standard one (upgrade), but a standard cap cannot replace a low-ESR one if the circuit depends on low ESR for stability or ripple performance.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AEC-Q200 Qualification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Identity (Flag)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If Original = Yes, Replacement = 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Required for automotive applications. Aluminum electrolytics are often the weakest link in automotive reliability due to electrolyte evaporation under heat and vibration. AEC-Q200 qualified parts undergo extended life, vibration, and humidity testing. A non-qualified part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cannot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replace a qualified one.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Moisture Sensitivity Level (MSL)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Replacement ≤ Original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2F6FA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Primarily relevant for SMD aluminum electrolytics.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MSL 1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(unlimited floor life) is best. Through-hole parts are generally not MSL-sensitive, but SMD V-chip electrolytics may have MSL ratings that affect assembly handling and baking requirements.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800" w:type="dxa"/>
          </w:tcPr>
          <w:p>
            <w:pPr>
              <w:spacing w:line="276" w:lineRule="auto"/>
            </w:pPr>
            <w:r>
              <w:rPr>
                <w:bCs/>
                <w:b/>
                <w:color w:val="333333"/>
                <w:rFonts w:ascii="Arial" w:cs="Arial" w:eastAsia="Arial" w:hAnsi="Arial"/>
                <w:sz w:val="19"/>
                <w:szCs w:val="19"/>
              </w:rPr>
              <w:t>Packaging (Tape &amp; Reel, etc.)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2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Operational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156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>Production Match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1" w:color="B4C6E0" w:space="0"/>
              <w:bottom w:val="single" w:sz="1" w:color="B4C6E0" w:space="0"/>
              <w:left w:val="single" w:sz="1" w:color="B4C6E0" w:space="0"/>
              <w:right w:val="single" w:sz="1" w:color="B4C6E0" w:space="0"/>
            </w:tcBorders>
            <w:shd w:fill="FFFFFF" w:val="clear"/>
            <w:vAlign w:val="top"/>
            <w:tcW w:w="4800" w:type="dxa"/>
          </w:tcPr>
          <w:p>
            <w:pPr>
              <w:spacing w:line="276" w:lineRule="auto"/>
            </w:pP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For SMD electrolytics,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Tape &amp; Reel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is required for automated pick-and-place. For through-hole,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Ammo Pack (taped &amp; formed leads)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is needed for auto-insertion machines. </w:t>
            </w:r>
            <w:r>
              <w:rPr>
                <w:bCs/>
                <w:b/>
                <w:color w:val="2E75B6"/>
                <w:rFonts w:ascii="Arial" w:cs="Arial" w:eastAsia="Arial" w:hAnsi="Arial"/>
                <w:sz w:val="19"/>
                <w:szCs w:val="19"/>
              </w:rPr>
              <w:t>Bulk</w:t>
            </w:r>
            <w:r>
              <w:rPr>
                <w:color w:val="333333"/>
                <w:rFonts w:ascii="Arial" w:cs="Arial" w:eastAsia="Arial" w:hAnsi="Arial"/>
                <w:sz w:val="19"/>
                <w:szCs w:val="19"/>
              </w:rPr>
              <w:t xml:space="preserve"> packaging requires manual or custom handling. Ensure compatibility with your production line.</w:t>
            </w:r>
          </w:p>
        </w:tc>
      </w:tr>
    </w:tbl>
    <w:p>
      <w:pPr>
        <w:spacing w:before="360" w:after="120"/>
      </w:pPr>
    </w:p>
    <w:p>
      <w:pPr>
        <w:pStyle w:val="Heading2"/>
      </w:pPr>
      <w:r>
        <w:rPr>
          <w:bCs/>
          <w:b/>
          <w:color w:val="333333"/>
          <w:rFonts w:ascii="Arial" w:cs="Arial" w:eastAsia="Arial" w:hAnsi="Arial"/>
          <w:sz w:val="26"/>
          <w:szCs w:val="26"/>
        </w:rPr>
        <w:t>Logic Type Definitions</w:t>
      </w:r>
    </w:p>
    <w:p>
      <w:pPr>
        <w:spacing w:after="80" w:line="276" w:lineRule="auto"/>
      </w:pPr>
      <w:r>
        <w:rPr>
          <w:bCs/>
          <w:b/>
          <w:rFonts w:ascii="Arial" w:cs="Arial" w:eastAsia="Arial" w:hAnsi="Arial"/>
          <w:sz w:val="20"/>
          <w:szCs w:val="20"/>
        </w:rPr>
        <w:t xml:space="preserve">Identity: </w:t>
      </w:r>
      <w:r>
        <w:rPr>
          <w:rFonts w:ascii="Arial" w:cs="Arial" w:eastAsia="Arial" w:hAnsi="Arial"/>
          <w:sz w:val="20"/>
          <w:szCs w:val="20"/>
        </w:rPr>
        <w:t>The replacement value must exactly match the original. No deviation allowed.</w:t>
      </w:r>
    </w:p>
    <w:p>
      <w:pPr>
        <w:spacing w:after="80" w:line="276" w:lineRule="auto"/>
      </w:pPr>
      <w:r>
        <w:rPr>
          <w:bCs/>
          <w:b/>
          <w:rFonts w:ascii="Arial" w:cs="Arial" w:eastAsia="Arial" w:hAnsi="Arial"/>
          <w:sz w:val="20"/>
          <w:szCs w:val="20"/>
        </w:rPr>
        <w:t xml:space="preserve">Identity (Upgrade Only): </w:t>
      </w:r>
      <w:r>
        <w:rPr>
          <w:rFonts w:ascii="Arial" w:cs="Arial" w:eastAsia="Arial" w:hAnsi="Arial"/>
          <w:sz w:val="20"/>
          <w:szCs w:val="20"/>
        </w:rPr>
        <w:t>Must match or be a strictly superior variant (e.g., standard → low-ESR is an upgrade, but not the reverse).</w:t>
      </w:r>
    </w:p>
    <w:p>
      <w:pPr>
        <w:spacing w:after="80" w:line="276" w:lineRule="auto"/>
      </w:pPr>
      <w:r>
        <w:rPr>
          <w:bCs/>
          <w:b/>
          <w:rFonts w:ascii="Arial" w:cs="Arial" w:eastAsia="Arial" w:hAnsi="Arial"/>
          <w:sz w:val="20"/>
          <w:szCs w:val="20"/>
        </w:rPr>
        <w:t xml:space="preserve">Identity (Flag): </w:t>
      </w:r>
      <w:r>
        <w:rPr>
          <w:rFonts w:ascii="Arial" w:cs="Arial" w:eastAsia="Arial" w:hAnsi="Arial"/>
          <w:sz w:val="20"/>
          <w:szCs w:val="20"/>
        </w:rPr>
        <w:t>A boolean attribute. If the original requires it, the replacement must also have it. If the original does not, either value is acceptable.</w:t>
      </w:r>
    </w:p>
    <w:p>
      <w:pPr>
        <w:spacing w:after="80" w:line="276" w:lineRule="auto"/>
      </w:pPr>
      <w:r>
        <w:rPr>
          <w:bCs/>
          <w:b/>
          <w:rFonts w:ascii="Arial" w:cs="Arial" w:eastAsia="Arial" w:hAnsi="Arial"/>
          <w:sz w:val="20"/>
          <w:szCs w:val="20"/>
        </w:rPr>
        <w:t xml:space="preserve">Threshold: </w:t>
      </w:r>
      <w:r>
        <w:rPr>
          <w:rFonts w:ascii="Arial" w:cs="Arial" w:eastAsia="Arial" w:hAnsi="Arial"/>
          <w:sz w:val="20"/>
          <w:szCs w:val="20"/>
        </w:rPr>
        <w:t>A numeric attribute where the replacement must meet or exceed (or be at/below) a boundary defined by the original part’s spec.</w:t>
      </w:r>
    </w:p>
    <w:p>
      <w:pPr>
        <w:spacing w:after="80" w:line="276" w:lineRule="auto"/>
      </w:pPr>
      <w:r>
        <w:rPr>
          <w:bCs/>
          <w:b/>
          <w:rFonts w:ascii="Arial" w:cs="Arial" w:eastAsia="Arial" w:hAnsi="Arial"/>
          <w:sz w:val="20"/>
          <w:szCs w:val="20"/>
        </w:rPr>
        <w:t xml:space="preserve">Fit: </w:t>
      </w:r>
      <w:r>
        <w:rPr>
          <w:rFonts w:ascii="Arial" w:cs="Arial" w:eastAsia="Arial" w:hAnsi="Arial"/>
          <w:sz w:val="20"/>
          <w:szCs w:val="20"/>
        </w:rPr>
        <w:t>A physical/dimensional constraint. The replacement must physically fit in the same space.</w:t>
      </w:r>
    </w:p>
    <w:p>
      <w:pPr>
        <w:spacing w:after="80" w:line="276" w:lineRule="auto"/>
      </w:pPr>
      <w:r>
        <w:rPr>
          <w:bCs/>
          <w:b/>
          <w:rFonts w:ascii="Arial" w:cs="Arial" w:eastAsia="Arial" w:hAnsi="Arial"/>
          <w:sz w:val="20"/>
          <w:szCs w:val="20"/>
        </w:rPr>
        <w:t xml:space="preserve">Operational: </w:t>
      </w:r>
      <w:r>
        <w:rPr>
          <w:rFonts w:ascii="Arial" w:cs="Arial" w:eastAsia="Arial" w:hAnsi="Arial"/>
          <w:sz w:val="20"/>
          <w:szCs w:val="20"/>
        </w:rPr>
        <w:t>A non-electrical parameter relevant to manufacturing or supply chain compatibility.</w:t>
      </w:r>
    </w:p>
    <w:p>
      <w:pPr>
        <w:spacing w:before="240" w:after="120"/>
      </w:pPr>
    </w:p>
    <w:p>
      <w:pPr>
        <w:pStyle w:val="Heading2"/>
      </w:pPr>
      <w:r>
        <w:rPr>
          <w:bCs/>
          <w:b/>
          <w:color w:val="333333"/>
          <w:rFonts w:ascii="Arial" w:cs="Arial" w:eastAsia="Arial" w:hAnsi="Arial"/>
          <w:sz w:val="26"/>
          <w:szCs w:val="26"/>
        </w:rPr>
        <w:t>Aluminum Electrolytic-Specific Notes</w:t>
      </w:r>
    </w:p>
    <w:p>
      <w:pPr>
        <w:spacing w:after="100" w:line="276" w:lineRule="auto"/>
      </w:pPr>
      <w:r>
        <w:rPr>
          <w:bCs/>
          <w:b/>
          <w:rFonts w:ascii="Arial" w:cs="Arial" w:eastAsia="Arial" w:hAnsi="Arial"/>
          <w:sz w:val="20"/>
          <w:szCs w:val="20"/>
        </w:rPr>
        <w:t xml:space="preserve">Arrhenius Lifetime Rule: </w:t>
      </w:r>
      <w:r>
        <w:rPr>
          <w:rFonts w:ascii="Arial" w:cs="Arial" w:eastAsia="Arial" w:hAnsi="Arial"/>
          <w:sz w:val="20"/>
          <w:szCs w:val="20"/>
        </w:rPr>
        <w:t>Electrolytic capacitor lifetime approximately doubles for every 10°C reduction in operating temperature below the rated maximum. A cap rated 2,000 hrs at 105°C will last roughly 8,000 hrs at 85°C. This means a 105°C-rated part is always a meaningful upgrade over an 85°C-rated part, even if the endurance hours are the same.</w:t>
      </w:r>
    </w:p>
    <w:p>
      <w:pPr>
        <w:spacing w:after="100" w:line="276" w:lineRule="auto"/>
      </w:pPr>
      <w:r>
        <w:rPr>
          <w:bCs/>
          <w:b/>
          <w:rFonts w:ascii="Arial" w:cs="Arial" w:eastAsia="Arial" w:hAnsi="Arial"/>
          <w:sz w:val="20"/>
          <w:szCs w:val="20"/>
        </w:rPr>
        <w:t xml:space="preserve">Reforming After Storage: </w:t>
      </w:r>
      <w:r>
        <w:rPr>
          <w:rFonts w:ascii="Arial" w:cs="Arial" w:eastAsia="Arial" w:hAnsi="Arial"/>
          <w:sz w:val="20"/>
          <w:szCs w:val="20"/>
        </w:rPr>
        <w:t>Aluminum electrolytics that sit unused for extended periods (&gt;6–12 months) may require voltage reforming to restore the oxide dielectric layer. Leakage current increases during storage. This is a consideration for replacement parts pulled from long-term inventory—verify shelf life and storage conditions.</w:t>
      </w:r>
    </w:p>
    <w:p>
      <w:pPr>
        <w:spacing w:after="100" w:line="276" w:lineRule="auto"/>
      </w:pPr>
      <w:r>
        <w:rPr>
          <w:bCs/>
          <w:b/>
          <w:rFonts w:ascii="Arial" w:cs="Arial" w:eastAsia="Arial" w:hAnsi="Arial"/>
          <w:sz w:val="20"/>
          <w:szCs w:val="20"/>
        </w:rPr>
        <w:t xml:space="preserve">Vibration Sensitivity: </w:t>
      </w:r>
      <w:r>
        <w:rPr>
          <w:rFonts w:ascii="Arial" w:cs="Arial" w:eastAsia="Arial" w:hAnsi="Arial"/>
          <w:sz w:val="20"/>
          <w:szCs w:val="20"/>
        </w:rPr>
        <w:t>Aluminum electrolytics are heavy and top-heavy, making them vulnerable to vibration-induced lead fatigue and solder joint cracking. In automotive, industrial, or aerospace applications, verify that the replacement has equivalent or better vibration ratings. Some manufacturers offer reinforced base or adhesive-mount variants for high-vibration environments.</w:t>
      </w:r>
    </w:p>
    <w:p>
      <w:pPr>
        <w:spacing w:after="100" w:line="276" w:lineRule="auto"/>
      </w:pPr>
      <w:r>
        <w:rPr>
          <w:bCs/>
          <w:b/>
          <w:rFonts w:ascii="Arial" w:cs="Arial" w:eastAsia="Arial" w:hAnsi="Arial"/>
          <w:sz w:val="20"/>
          <w:szCs w:val="20"/>
        </w:rPr>
        <w:t xml:space="preserve">Ripple Current Frequency Multipliers: </w:t>
      </w:r>
      <w:r>
        <w:rPr>
          <w:rFonts w:ascii="Arial" w:cs="Arial" w:eastAsia="Arial" w:hAnsi="Arial"/>
          <w:sz w:val="20"/>
          <w:szCs w:val="20"/>
        </w:rPr>
        <w:t>Ripple current ratings are typically specified at 100–120Hz. At higher switching frequencies (e.g., 100kHz in SMPS), manufacturers publish frequency multiplier coefficients (often 1.4–1.7×). When comparing ripple current ratings between parts, ensure both values are at the same reference frequency, or apply the appropriate multiplier.</w:t>
      </w:r>
    </w:p>
    <w:sectPr>
      <w:docGrid w:linePitch="360"/>
      <w:pgSz w:w="12240" w:h="15840" w:orient="portrait"/>
      <w:pgMar w:left="1440" w:right="1440" w:top="1440" w:bottom="1440" w:header="708" w:footer="708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Arial"/>
  <w:font w:name="Calibri"/>
  <w:font w:name="Cambria"/>
  <w:font w:name="Symbol"/>
  <w:font w:name="Courier New"/>
  <w:font w:name="Times New Roman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 standalone="yes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abstractNum w:abstractNumId="1"><w:multiLevelType w:val="hybridMultilevel"/><w:lvl w:ilvl="0"  w15:tentative="1"><w:numFmt w:val="bullet"/><w:lvlText w:val="●"/><w:start w:val="1" /><w:pPr><w:ind w:left="720"/><w:ind w:hanging="360"/></w:pPr><w:lvlJc w:val="left"></w:lvlJc></w:lvl><w:lvl w:ilvl="1"  w15:tentative="1"><w:numFmt w:val="bullet"/><w:lvlText w:val="○"/><w:start w:val="1" /><w:pPr><w:ind w:left="1440"/><w:ind w:hanging="360"/></w:pPr><w:lvlJc w:val="left"></w:lvlJc></w:lvl><w:lvl w:ilvl="2"  w15:tentative="1"><w:numFmt w:val="bullet"/><w:lvlText w:val="■"/><w:start w:val="1" /><w:pPr><w:ind w:left="2160"/><w:ind w:hanging="360"/></w:pPr><w:lvlJc w:val="left"></w:lvlJc></w:lvl><w:lvl w:ilvl="3"  w15:tentative="1"><w:numFmt w:val="bullet"/><w:lvlText w:val="●"/><w:start w:val="1" /><w:pPr><w:ind w:left="2880"/><w:ind w:hanging="360"/></w:pPr><w:lvlJc w:val="left"></w:lvlJc></w:lvl><w:lvl w:ilvl="4"  w15:tentative="1"><w:numFmt w:val="bullet"/><w:lvlText w:val="○"/><w:start w:val="1" /><w:pPr><w:ind w:left="3600"/><w:ind w:hanging="360"/></w:pPr><w:lvlJc w:val="left"></w:lvlJc></w:lvl><w:lvl w:ilvl="5"  w15:tentative="1"><w:numFmt w:val="bullet"/><w:lvlText w:val="■"/><w:start w:val="1" /><w:pPr><w:ind w:left="4320"/><w:ind w:hanging="360"/></w:pPr><w:lvlJc w:val="left"></w:lvlJc></w:lvl><w:lvl w:ilvl="6"  w15:tentative="1"><w:numFmt w:val="bullet"/><w:lvlText w:val="●"/><w:start w:val="1" /><w:pPr><w:ind w:left="5040"/><w:ind w:hanging="360"/></w:pPr><w:lvlJc w:val="left"></w:lvlJc></w:lvl><w:lvl w:ilvl="7"  w15:tentative="1"><w:numFmt w:val="bullet"/><w:lvlText w:val="●"/><w:start w:val="1" /><w:pPr><w:ind w:left="5760"/><w:ind w:hanging="360"/></w:pPr><w:lvlJc w:val="left"></w:lvlJc></w:lvl><w:lvl w:ilvl="8"  w15:tentative="1"><w:numFmt w:val="bullet"/><w:lvlText w:val="●"/><w:start w:val="1" /><w:pPr><w:ind w:left="6480"/><w:ind w:hanging="360"/></w:pPr><w:lvlJc w:val="left"></w:lvlJc></w:lvl></w:abstractNum><w:abstractNum w:abstractNumId="10121982"><w:multiLevelType w:val="hybridMultilevel"/><w:lvl w:ilvl="0" ><w:numFmt w:val="decimal"/><w:lvlText w:val="%1."/><w:start w:val="1" /><w:pPr><w:ind w:left="720"/><w:ind w:hanging="360"/></w:pPr></w:lvl><w:lvl w:ilvl="1" ><w:numFmt w:val="decimal"/><w:lvlText w:val="%2."/><w:start w:val="1" /><w:pPr><w:ind w:left="1440"/><w:ind w:hanging="1080"/></w:pPr></w:lvl><w:lvl w:ilvl="2" ><w:numFmt w:val="decimal"/><w:lvlText w:val="%3."/><w:start w:val="1" /><w:pPr><w:ind w:left="2160"/><w:ind w:hanging="1980"/></w:pPr></w:lvl><w:lvl w:ilvl="3" ><w:numFmt w:val="decimal"/><w:lvlText w:val="%4."/><w:start w:val="1" /><w:pPr><w:ind w:left="2880"/><w:ind w:hanging="2520"/></w:pPr></w:lvl><w:lvl w:ilvl="4" ><w:numFmt w:val="decimal"/><w:lvlText w:val="%5."/><w:start w:val="1" /><w:pPr><w:ind w:left="3600"/><w:ind w:hanging="3240"/></w:pPr></w:lvl><w:lvl w:ilvl="5" ><w:numFmt w:val="decimal"/><w:lvlText w:val="%6."/><w:start w:val="1" /><w:pPr><w:ind w:left="4320"/><w:ind w:hanging="4140"/></w:pPr></w:lvl><w:lvl w:ilvl="6" ><w:numFmt w:val="decimal"/><w:lvlText w:val="%7."/><w:start w:val="1" /><w:pPr><w:ind w:left="5040"/><w:ind w:hanging="4680"/></w:pPr></w:lvl><w:lvl w:ilvl="7" ><w:numFmt w:val="decimal"/><w:lvlText w:val="%8."/><w:start w:val="1" /><w:pPr><w:ind w:left="5760"/><w:ind w:hanging="5400"/></w:pPr></w:lvl><w:lvl w:ilvl="8" ><w:numFmt w:val="decimal"/><w:lvlText w:val="%9."/><w:start w:val="1" /><w:pPr><w:ind w:left="6480"/><w:ind w:hanging="6300"/></w:pPr></w:lvl></w:abstractNum><w:num w:numId="1"><w:abstractNumId w:val="1"/><w:lvlOverride w:ilvl="0"><w:startOverride w:val="1"></w:startOverride></w:lvlOverride></w:num><w:num w:numId="10121982"><w:abstractNumId w:val="10121982"/></w:num>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 w:val="false">
  <w:displayBackgroundShape/>
  <w:compat>
    <w:compatSetting w:val="15" w:uri="http://schemas.microsoft.com/office/word" w:name="compatibilityMode"/>
  </w:compat>
  <w:evenAndOddHeaders/>
  <w:rsids/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docDefaults>
    <w:rPrDefault>
      <w:rPr>
        <w:rFonts w:ascii="Arial" w:cs="Arial" w:eastAsia="Arial" w:hAnsi="Arial"/>
        <w:sz w:val="22"/>
        <w:szCs w:val="22"/>
      </w:rPr>
    </w:rPrDefault>
    <w:pPrDefault/>
  </w:docDefaults>
  <w:latentStyles w:defLockedState="0" w:defUIPriority="99" w:defSemiHidden="1" w:defUnhideWhenUsed="1" w:defQFormat="0">
     w:count="276"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/&gt;
  </w:latentStyles>
  <w:style w:type="paragraph" w:styleId="Title">
    <w:name w:val="Title"/>
    <w:qFormat/>
    <w:basedOn w:val="Normal"/>
    <w:next w:val="Normal"/>
    <w:rPr>
      <w:sz w:val="56"/>
      <w:szCs w:val="56"/>
    </w:rPr>
  </w:style>
  <w:style w:type="paragraph" w:styleId="Heading1">
    <w:name w:val="Heading 1"/>
    <w:qFormat/>
    <w:basedOn w:val="Normal"/>
    <w:next w:val="Normal"/>
    <w:rPr>
      <w:color w:val="2E74B5"/>
      <w:sz w:val="32"/>
      <w:szCs w:val="32"/>
    </w:rPr>
  </w:style>
  <w:style w:type="paragraph" w:styleId="Heading2">
    <w:name w:val="Heading 2"/>
    <w:qFormat/>
    <w:basedOn w:val="Normal"/>
    <w:next w:val="Normal"/>
    <w:rPr>
      <w:color w:val="2E74B5"/>
      <w:sz w:val="26"/>
      <w:szCs w:val="26"/>
    </w:rPr>
  </w:style>
  <w:style w:type="paragraph" w:styleId="Heading3">
    <w:name w:val="Heading 3"/>
    <w:qFormat/>
    <w:basedOn w:val="Normal"/>
    <w:next w:val="Normal"/>
    <w:rPr>
      <w:color w:val="1F4D78"/>
      <w:sz w:val="24"/>
      <w:szCs w:val="24"/>
    </w:rPr>
  </w:style>
  <w:style w:type="paragraph" w:styleId="Heading4">
    <w:name w:val="Heading 4"/>
    <w:qFormat/>
    <w:basedOn w:val="Normal"/>
    <w:next w:val="Normal"/>
    <w:rPr>
      <w:iCs/>
      <w:i/>
      <w:color w:val="2E74B5"/>
    </w:rPr>
  </w:style>
  <w:style w:type="paragraph" w:styleId="Heading5">
    <w:name w:val="Heading 5"/>
    <w:qFormat/>
    <w:basedOn w:val="Normal"/>
    <w:next w:val="Normal"/>
    <w:rPr>
      <w:color w:val="2E74B5"/>
    </w:rPr>
  </w:style>
  <w:style w:type="paragraph" w:styleId="Heading6">
    <w:name w:val="Heading 6"/>
    <w:qFormat/>
    <w:basedOn w:val="Normal"/>
    <w:next w:val="Normal"/>
    <w:rPr>
      <w:color w:val="1F4D78"/>
    </w:rPr>
  </w:style>
  <w:style w:type="paragraph" w:styleId="Strong">
    <w:name w:val="Strong"/>
    <w:qFormat/>
    <w:basedOn w:val="Normal"/>
    <w:next w:val="Normal"/>
    <w:rPr>
      <w:bCs/>
      <w:b/>
    </w:rPr>
  </w:style>
  <w:style w:type="paragraph" w:styleId="ListParagraph">
    <w:name w:val="List Paragraph"/>
    <w:qFormat/>
    <w:basedOn w:val="Normal"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1">
    <w:name w:val="Heading 1"/>
    <w:qFormat/>
    <w:basedOn w:val="Normal"/>
    <w:next w:val="Normal"/>
    <w:pPr>
      <w:outlineLvl w:val="0"/>
      <w:spacing w:before="120" w:after="200"/>
    </w:pPr>
    <w:rPr>
      <w:bCs/>
      <w:b/>
      <w:color w:val="1F3864"/>
      <w:rFonts w:ascii="Arial" w:cs="Arial" w:eastAsia="Arial" w:hAnsi="Arial"/>
      <w:sz w:val="36"/>
      <w:szCs w:val="36"/>
    </w:rPr>
  </w:style>
  <w:style w:type="paragraph" w:styleId="Heading22">
    <w:name w:val="Heading 2"/>
    <w:qFormat/>
    <w:basedOn w:val="Normal"/>
    <w:next w:val="Normal"/>
    <w:pPr>
      <w:outlineLvl w:val="1"/>
      <w:spacing w:before="200" w:after="120"/>
    </w:pPr>
    <w:rPr>
      <w:bCs/>
      <w:b/>
      <w:color w:val="333333"/>
      <w:rFonts w:ascii="Arial" w:cs="Arial" w:eastAsia="Arial" w:hAnsi="Arial"/>
      <w:sz w:val="26"/>
      <w:szCs w:val="26"/>
    </w:rPr>
  </w:style>
  <w:style w:type="paragraph" w:default="1" w:styleId="Normal">
    <w:name w:val="Normal"/>
  </w:style>
  <w:style w:type="paragraph" w:styleId="Subtitle">
    <w:name w:val="Subtitle"/>
    <w:basedOn w:val="Normal"/>
    <w:rPr>
      <w:i/>
      <w:color w:val="4F81BD"/>
      <w:sz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2026-02-10T17:15:54.659Z</dcterms:created>
  <dcterms:modified xsi:type="dcterms:W3CDTF">2026-02-10T17:15:54.660Z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