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Fixed Inductors – Power Inductors</w:t>
      </w:r>
    </w:p>
    <w:p>
      <w:pPr>
        <w:spacing w:after="60"/>
      </w:pPr>
      <w:r>
        <w:rPr>
          <w:rFonts w:ascii="Arial" w:cs="Arial" w:eastAsia="Arial" w:hAnsi="Arial"/>
          <w:color w:val="666666"/>
          <w:sz w:val="22"/>
          <w:szCs w:val="22"/>
        </w:rPr>
        <w:t xml:space="preserve">DigiKey Family ID: 71</w:t>
      </w:r>
    </w:p>
    <w:p>
      <w:pPr>
        <w:spacing w:after="240"/>
      </w:pPr>
      <w:r>
        <w:rPr>
          <w:rFonts w:ascii="Arial" w:cs="Arial" w:eastAsia="Arial" w:hAnsi="Arial"/>
          <w:i/>
          <w:iCs/>
          <w:color w:val="666666"/>
          <w:sz w:val="22"/>
          <w:szCs w:val="22"/>
        </w:rPr>
        <w:t xml:space="preserve">Hard Logic Filters for Replacement Part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Inductance</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 </w:t>
            </w:r>
            <w:r>
              <w:rPr>
                <w:rFonts w:ascii="Arial" w:cs="Arial" w:eastAsia="Arial" w:hAnsi="Arial"/>
                <w:b/>
                <w:bCs/>
                <w:color w:val="2E75B6"/>
                <w:sz w:val="19"/>
                <w:szCs w:val="19"/>
              </w:rPr>
              <w:t xml:space="preserve">10µH</w:t>
            </w:r>
            <w:r>
              <w:rPr>
                <w:rFonts w:ascii="Arial" w:cs="Arial" w:eastAsia="Arial" w:hAnsi="Arial"/>
                <w:color w:val="333333"/>
                <w:sz w:val="19"/>
                <w:szCs w:val="19"/>
              </w:rPr>
              <w:t xml:space="preserve"> inductor must be replaced by a </w:t>
            </w:r>
            <w:r>
              <w:rPr>
                <w:rFonts w:ascii="Arial" w:cs="Arial" w:eastAsia="Arial" w:hAnsi="Arial"/>
                <w:b/>
                <w:bCs/>
                <w:color w:val="2E75B6"/>
                <w:sz w:val="19"/>
                <w:szCs w:val="19"/>
              </w:rPr>
              <w:t xml:space="preserve">10µH</w:t>
            </w:r>
            <w:r>
              <w:rPr>
                <w:rFonts w:ascii="Arial" w:cs="Arial" w:eastAsia="Arial" w:hAnsi="Arial"/>
                <w:color w:val="333333"/>
                <w:sz w:val="19"/>
                <w:szCs w:val="19"/>
              </w:rPr>
              <w:t xml:space="preserve"> inductor. Normalize values before comparison (e.g., 0.01mH = 10µH = 10,000nH). In switching regulators, the inductance value directly determines ripple current, transient response, and loop stability—even small deviations can cause instability or failure to regulate.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Package / Footprint</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 to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Power inductors have highly variable footprints, even within similar sizes. Unlike passive components with standardized EIA codes, inductor pad patterns are often manufacturer-specific. The replacement must match the original’s </w:t>
            </w:r>
            <w:r>
              <w:rPr>
                <w:rFonts w:ascii="Arial" w:cs="Arial" w:eastAsia="Arial" w:hAnsi="Arial"/>
                <w:b/>
                <w:bCs/>
                <w:color w:val="2E75B6"/>
                <w:sz w:val="19"/>
                <w:szCs w:val="19"/>
              </w:rPr>
              <w:t xml:space="preserve">pad dimensions, pin pitch, and land pattern</w:t>
            </w:r>
            <w:r>
              <w:rPr>
                <w:rFonts w:ascii="Arial" w:cs="Arial" w:eastAsia="Arial" w:hAnsi="Arial"/>
                <w:color w:val="333333"/>
                <w:sz w:val="19"/>
                <w:szCs w:val="19"/>
              </w:rPr>
              <w:t xml:space="preserve"> exactly. Common size codes (e.g., 1210, 1812) exist but are not universally standardized across manufacturers.</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Tolerance</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 tighter tolerance is always acceptable. A </w:t>
            </w:r>
            <w:r>
              <w:rPr>
                <w:rFonts w:ascii="Arial" w:cs="Arial" w:eastAsia="Arial" w:hAnsi="Arial"/>
                <w:b/>
                <w:bCs/>
                <w:color w:val="2E75B6"/>
                <w:sz w:val="19"/>
                <w:szCs w:val="19"/>
              </w:rPr>
              <w:t xml:space="preserve">±10%</w:t>
            </w:r>
            <w:r>
              <w:rPr>
                <w:rFonts w:ascii="Arial" w:cs="Arial" w:eastAsia="Arial" w:hAnsi="Arial"/>
                <w:color w:val="333333"/>
                <w:sz w:val="19"/>
                <w:szCs w:val="19"/>
              </w:rPr>
              <w:t xml:space="preserve"> inductor can replace a </w:t>
            </w:r>
            <w:r>
              <w:rPr>
                <w:rFonts w:ascii="Arial" w:cs="Arial" w:eastAsia="Arial" w:hAnsi="Arial"/>
                <w:b/>
                <w:bCs/>
                <w:color w:val="2E75B6"/>
                <w:sz w:val="19"/>
                <w:szCs w:val="19"/>
              </w:rPr>
              <w:t xml:space="preserve">±20%</w:t>
            </w:r>
            <w:r>
              <w:rPr>
                <w:rFonts w:ascii="Arial" w:cs="Arial" w:eastAsia="Arial" w:hAnsi="Arial"/>
                <w:color w:val="333333"/>
                <w:sz w:val="19"/>
                <w:szCs w:val="19"/>
              </w:rPr>
              <w:t xml:space="preserve"> one. Common tolerances: ±20% (M), ±10% (K), ±5% (J), ±2% (G), ±1% (F). Tighter tolerance matters most in EMI filters and precision current-sensing applications.</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Saturation Current (Isat)</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This is the most critical parameter for power inductors.</w:t>
            </w:r>
            <w:r>
              <w:rPr>
                <w:rFonts w:ascii="Arial" w:cs="Arial" w:eastAsia="Arial" w:hAnsi="Arial"/>
                <w:color w:val="333333"/>
                <w:sz w:val="19"/>
                <w:szCs w:val="19"/>
              </w:rPr>
              <w:t xml:space="preserve"> Isat is the DC current at which inductance drops by a specified percentage (typically </w:t>
            </w:r>
            <w:r>
              <w:rPr>
                <w:rFonts w:ascii="Arial" w:cs="Arial" w:eastAsia="Arial" w:hAnsi="Arial"/>
                <w:b/>
                <w:bCs/>
                <w:color w:val="2E75B6"/>
                <w:sz w:val="19"/>
                <w:szCs w:val="19"/>
              </w:rPr>
              <w:t xml:space="preserve">20–30%</w:t>
            </w:r>
            <w:r>
              <w:rPr>
                <w:rFonts w:ascii="Arial" w:cs="Arial" w:eastAsia="Arial" w:hAnsi="Arial"/>
                <w:color w:val="333333"/>
                <w:sz w:val="19"/>
                <w:szCs w:val="19"/>
              </w:rPr>
              <w:t xml:space="preserve"> depending on manufacturer). Beyond Isat, the core saturates, inductance collapses, and the switching regulator loses control—causing output voltage droop, excessive ripple, or oscillation. A higher Isat provides more headroom. </w:t>
            </w:r>
            <w:r>
              <w:rPr>
                <w:rFonts w:ascii="Arial" w:cs="Arial" w:eastAsia="Arial" w:hAnsi="Arial"/>
                <w:b/>
                <w:bCs/>
                <w:color w:val="333333"/>
                <w:sz w:val="19"/>
                <w:szCs w:val="19"/>
              </w:rPr>
              <w:t xml:space="preserve">Warning:</w:t>
            </w:r>
            <w:r>
              <w:rPr>
                <w:rFonts w:ascii="Arial" w:cs="Arial" w:eastAsia="Arial" w:hAnsi="Arial"/>
                <w:color w:val="333333"/>
                <w:sz w:val="19"/>
                <w:szCs w:val="19"/>
              </w:rPr>
              <w:t xml:space="preserve"> Isat definitions vary between manufacturers (20% vs. 30% vs. 10% drop). Always compare at the same drop percentage.</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Rated Current / RMS Current (Irms)</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continuous DC current at which the inductor’s temperature rise reaches a specified limit (typically </w:t>
            </w:r>
            <w:r>
              <w:rPr>
                <w:rFonts w:ascii="Arial" w:cs="Arial" w:eastAsia="Arial" w:hAnsi="Arial"/>
                <w:b/>
                <w:bCs/>
                <w:color w:val="2E75B6"/>
                <w:sz w:val="19"/>
                <w:szCs w:val="19"/>
              </w:rPr>
              <w:t xml:space="preserve">+20°C or +40°C</w:t>
            </w:r>
            <w:r>
              <w:rPr>
                <w:rFonts w:ascii="Arial" w:cs="Arial" w:eastAsia="Arial" w:hAnsi="Arial"/>
                <w:color w:val="333333"/>
                <w:sz w:val="19"/>
                <w:szCs w:val="19"/>
              </w:rPr>
              <w:t xml:space="preserve"> above ambient). This is a </w:t>
            </w:r>
            <w:r>
              <w:rPr>
                <w:rFonts w:ascii="Arial" w:cs="Arial" w:eastAsia="Arial" w:hAnsi="Arial"/>
                <w:b/>
                <w:bCs/>
                <w:color w:val="333333"/>
                <w:sz w:val="19"/>
                <w:szCs w:val="19"/>
              </w:rPr>
              <w:t xml:space="preserve">thermal limit</w:t>
            </w:r>
            <w:r>
              <w:rPr>
                <w:rFonts w:ascii="Arial" w:cs="Arial" w:eastAsia="Arial" w:hAnsi="Arial"/>
                <w:color w:val="333333"/>
                <w:sz w:val="19"/>
                <w:szCs w:val="19"/>
              </w:rPr>
              <w:t xml:space="preserve">, not a magnetic limit. Exceeding Irms causes excessive self-heating, which degrades the inductor and surrounding components. </w:t>
            </w:r>
            <w:r>
              <w:rPr>
                <w:rFonts w:ascii="Arial" w:cs="Arial" w:eastAsia="Arial" w:hAnsi="Arial"/>
                <w:b/>
                <w:bCs/>
                <w:color w:val="333333"/>
                <w:sz w:val="19"/>
                <w:szCs w:val="19"/>
              </w:rPr>
              <w:t xml:space="preserve">Note:</w:t>
            </w:r>
            <w:r>
              <w:rPr>
                <w:rFonts w:ascii="Arial" w:cs="Arial" w:eastAsia="Arial" w:hAnsi="Arial"/>
                <w:color w:val="333333"/>
                <w:sz w:val="19"/>
                <w:szCs w:val="19"/>
              </w:rPr>
              <w:t xml:space="preserve"> Isat and Irms are independent constraints—both must be met. A part can have high Isat but low Irms (or vice versa).</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DCR (DC Resistance)</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winding’s DC resistance determines conduction losses (P = I²R) and voltage drop. Lower DCR means higher efficiency and less heat. A </w:t>
            </w:r>
            <w:r>
              <w:rPr>
                <w:rFonts w:ascii="Arial" w:cs="Arial" w:eastAsia="Arial" w:hAnsi="Arial"/>
                <w:b/>
                <w:bCs/>
                <w:color w:val="2E75B6"/>
                <w:sz w:val="19"/>
                <w:szCs w:val="19"/>
              </w:rPr>
              <w:t xml:space="preserve">15mΩ</w:t>
            </w:r>
            <w:r>
              <w:rPr>
                <w:rFonts w:ascii="Arial" w:cs="Arial" w:eastAsia="Arial" w:hAnsi="Arial"/>
                <w:color w:val="333333"/>
                <w:sz w:val="19"/>
                <w:szCs w:val="19"/>
              </w:rPr>
              <w:t xml:space="preserve"> inductor is more efficient than a </w:t>
            </w:r>
            <w:r>
              <w:rPr>
                <w:rFonts w:ascii="Arial" w:cs="Arial" w:eastAsia="Arial" w:hAnsi="Arial"/>
                <w:b/>
                <w:bCs/>
                <w:color w:val="2E75B6"/>
                <w:sz w:val="19"/>
                <w:szCs w:val="19"/>
              </w:rPr>
              <w:t xml:space="preserve">30mΩ</w:t>
            </w:r>
            <w:r>
              <w:rPr>
                <w:rFonts w:ascii="Arial" w:cs="Arial" w:eastAsia="Arial" w:hAnsi="Arial"/>
                <w:color w:val="333333"/>
                <w:sz w:val="19"/>
                <w:szCs w:val="19"/>
              </w:rPr>
              <w:t xml:space="preserve"> one at the same current. DCR is especially critical in high-current, low-voltage applications (e.g., CPU VRMs) where even milliohms matter.</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Core Material / Type</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(Upgrade Only)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Core material determines saturation behavior, frequency performance, and losses. Common types: </w:t>
            </w:r>
            <w:r>
              <w:rPr>
                <w:rFonts w:ascii="Arial" w:cs="Arial" w:eastAsia="Arial" w:hAnsi="Arial"/>
                <w:b/>
                <w:bCs/>
                <w:color w:val="2E75B6"/>
                <w:sz w:val="19"/>
                <w:szCs w:val="19"/>
              </w:rPr>
              <w:t xml:space="preserve">ferrite</w:t>
            </w:r>
            <w:r>
              <w:rPr>
                <w:rFonts w:ascii="Arial" w:cs="Arial" w:eastAsia="Arial" w:hAnsi="Arial"/>
                <w:color w:val="333333"/>
                <w:sz w:val="19"/>
                <w:szCs w:val="19"/>
              </w:rPr>
              <w:t xml:space="preserve"> (hard saturation, low core loss at high freq), </w:t>
            </w:r>
            <w:r>
              <w:rPr>
                <w:rFonts w:ascii="Arial" w:cs="Arial" w:eastAsia="Arial" w:hAnsi="Arial"/>
                <w:b/>
                <w:bCs/>
                <w:color w:val="2E75B6"/>
                <w:sz w:val="19"/>
                <w:szCs w:val="19"/>
              </w:rPr>
              <w:t xml:space="preserve">iron powder / carbonyl</w:t>
            </w:r>
            <w:r>
              <w:rPr>
                <w:rFonts w:ascii="Arial" w:cs="Arial" w:eastAsia="Arial" w:hAnsi="Arial"/>
                <w:color w:val="333333"/>
                <w:sz w:val="19"/>
                <w:szCs w:val="19"/>
              </w:rPr>
              <w:t xml:space="preserve"> (soft saturation, higher core loss), </w:t>
            </w:r>
            <w:r>
              <w:rPr>
                <w:rFonts w:ascii="Arial" w:cs="Arial" w:eastAsia="Arial" w:hAnsi="Arial"/>
                <w:b/>
                <w:bCs/>
                <w:color w:val="2E75B6"/>
                <w:sz w:val="19"/>
                <w:szCs w:val="19"/>
              </w:rPr>
              <w:t xml:space="preserve">metal composite / alloy</w:t>
            </w:r>
            <w:r>
              <w:rPr>
                <w:rFonts w:ascii="Arial" w:cs="Arial" w:eastAsia="Arial" w:hAnsi="Arial"/>
                <w:color w:val="333333"/>
                <w:sz w:val="19"/>
                <w:szCs w:val="19"/>
              </w:rPr>
              <w:t xml:space="preserve"> (soft saturation, excellent Isat, moderate core loss). Ferrite saturates abruptly (dangerous in power converters); composite cores roll off gradually (more forgiving). Do not replace a soft-saturation core with a hard-saturation core without verifying the converter can tolerate the behavior.</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Shielding</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(Flag)</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If Original = Shielded, Replacement = Shielded</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2E75B6"/>
                <w:sz w:val="19"/>
                <w:szCs w:val="19"/>
              </w:rPr>
              <w:t xml:space="preserve">Shielded</w:t>
            </w:r>
            <w:r>
              <w:rPr>
                <w:rFonts w:ascii="Arial" w:cs="Arial" w:eastAsia="Arial" w:hAnsi="Arial"/>
                <w:color w:val="333333"/>
                <w:sz w:val="19"/>
                <w:szCs w:val="19"/>
              </w:rPr>
              <w:t xml:space="preserve"> inductors contain the magnetic field within the core structure, reducing EMI radiation and coupling to adjacent components. </w:t>
            </w:r>
            <w:r>
              <w:rPr>
                <w:rFonts w:ascii="Arial" w:cs="Arial" w:eastAsia="Arial" w:hAnsi="Arial"/>
                <w:b/>
                <w:bCs/>
                <w:color w:val="2E75B6"/>
                <w:sz w:val="19"/>
                <w:szCs w:val="19"/>
              </w:rPr>
              <w:t xml:space="preserve">Unshielded (open-core)</w:t>
            </w:r>
            <w:r>
              <w:rPr>
                <w:rFonts w:ascii="Arial" w:cs="Arial" w:eastAsia="Arial" w:hAnsi="Arial"/>
                <w:color w:val="333333"/>
                <w:sz w:val="19"/>
                <w:szCs w:val="19"/>
              </w:rPr>
              <w:t xml:space="preserve"> inductors radiate more and are susceptible to interference. A shielded part cannot be replaced with an unshielded one—this can cause EMI compliance failures. An unshielded part can optionally be upgraded to shielded.</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Self-Resonant Frequency (SRF)</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Above the SRF, the inductor behaves as a capacitor due to parasitic winding capacitance. The operating (switching) frequency must be well below SRF. A higher SRF means the inductor is effective over a wider frequency range. A </w:t>
            </w:r>
            <w:r>
              <w:rPr>
                <w:rFonts w:ascii="Arial" w:cs="Arial" w:eastAsia="Arial" w:hAnsi="Arial"/>
                <w:b/>
                <w:bCs/>
                <w:color w:val="2E75B6"/>
                <w:sz w:val="19"/>
                <w:szCs w:val="19"/>
              </w:rPr>
              <w:t xml:space="preserve">50MHz SRF</w:t>
            </w:r>
            <w:r>
              <w:rPr>
                <w:rFonts w:ascii="Arial" w:cs="Arial" w:eastAsia="Arial" w:hAnsi="Arial"/>
                <w:color w:val="333333"/>
                <w:sz w:val="19"/>
                <w:szCs w:val="19"/>
              </w:rPr>
              <w:t xml:space="preserve"> inductor can replace a </w:t>
            </w:r>
            <w:r>
              <w:rPr>
                <w:rFonts w:ascii="Arial" w:cs="Arial" w:eastAsia="Arial" w:hAnsi="Arial"/>
                <w:b/>
                <w:bCs/>
                <w:color w:val="2E75B6"/>
                <w:sz w:val="19"/>
                <w:szCs w:val="19"/>
              </w:rPr>
              <w:t xml:space="preserve">30MHz SRF</w:t>
            </w:r>
            <w:r>
              <w:rPr>
                <w:rFonts w:ascii="Arial" w:cs="Arial" w:eastAsia="Arial" w:hAnsi="Arial"/>
                <w:color w:val="333333"/>
                <w:sz w:val="19"/>
                <w:szCs w:val="19"/>
              </w:rPr>
              <w:t xml:space="preserve"> one. Particularly important in high-frequency converters (&gt;1MHz) and EMI filters.</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Operating Temp Range</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range ⊇ Original range</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replacement must cover at least the full operating range of the original. Standard power inductors are typically rated </w:t>
            </w:r>
            <w:r>
              <w:rPr>
                <w:rFonts w:ascii="Arial" w:cs="Arial" w:eastAsia="Arial" w:hAnsi="Arial"/>
                <w:b/>
                <w:bCs/>
                <w:color w:val="2E75B6"/>
                <w:sz w:val="19"/>
                <w:szCs w:val="19"/>
              </w:rPr>
              <w:t xml:space="preserve">−40°C to +125°C</w:t>
            </w:r>
            <w:r>
              <w:rPr>
                <w:rFonts w:ascii="Arial" w:cs="Arial" w:eastAsia="Arial" w:hAnsi="Arial"/>
                <w:color w:val="333333"/>
                <w:sz w:val="19"/>
                <w:szCs w:val="19"/>
              </w:rPr>
              <w:t xml:space="preserve">; some are rated to </w:t>
            </w:r>
            <w:r>
              <w:rPr>
                <w:rFonts w:ascii="Arial" w:cs="Arial" w:eastAsia="Arial" w:hAnsi="Arial"/>
                <w:b/>
                <w:bCs/>
                <w:color w:val="2E75B6"/>
                <w:sz w:val="19"/>
                <w:szCs w:val="19"/>
              </w:rPr>
              <w:t xml:space="preserve">+150°C or +155°C</w:t>
            </w:r>
            <w:r>
              <w:rPr>
                <w:rFonts w:ascii="Arial" w:cs="Arial" w:eastAsia="Arial" w:hAnsi="Arial"/>
                <w:color w:val="333333"/>
                <w:sz w:val="19"/>
                <w:szCs w:val="19"/>
              </w:rPr>
              <w:t xml:space="preserve">. A narrower range cannot substitute for a wider one. Note that Isat typically decreases at elevated temperatures—verify the Isat derating curve.</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Height (Seated Max)</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Fit</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Power inductors are often the tallest component on a board, especially in high-current designs. Height varies significantly even within the same footprint depending on inductance and current rating. Critical for enclosures, stacked PCBs, and low-profile designs. Common low-profile parts are </w:t>
            </w:r>
            <w:r>
              <w:rPr>
                <w:rFonts w:ascii="Arial" w:cs="Arial" w:eastAsia="Arial" w:hAnsi="Arial"/>
                <w:b/>
                <w:bCs/>
                <w:color w:val="2E75B6"/>
                <w:sz w:val="19"/>
                <w:szCs w:val="19"/>
              </w:rPr>
              <w:t xml:space="preserve">1.0mm, 1.2mm, 2.0mm, 3.0mm</w:t>
            </w:r>
            <w:r>
              <w:rPr>
                <w:rFonts w:ascii="Arial" w:cs="Arial" w:eastAsia="Arial" w:hAnsi="Arial"/>
                <w:color w:val="333333"/>
                <w:sz w:val="19"/>
                <w:szCs w:val="19"/>
              </w:rPr>
              <w:t xml:space="preserve"> max height.</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ACR / AC Losses (Core Loss)</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AC resistance (ACR) includes both skin effect losses in the winding and core losses from the alternating magnetic field. Lower ACR means less heat generation under switching conditions. Core loss increases with frequency and flux density. This parameter is especially important in </w:t>
            </w:r>
            <w:r>
              <w:rPr>
                <w:rFonts w:ascii="Arial" w:cs="Arial" w:eastAsia="Arial" w:hAnsi="Arial"/>
                <w:b/>
                <w:bCs/>
                <w:color w:val="2E75B6"/>
                <w:sz w:val="19"/>
                <w:szCs w:val="19"/>
              </w:rPr>
              <w:t xml:space="preserve">high-frequency (&gt;500kHz) converters</w:t>
            </w:r>
            <w:r>
              <w:rPr>
                <w:rFonts w:ascii="Arial" w:cs="Arial" w:eastAsia="Arial" w:hAnsi="Arial"/>
                <w:color w:val="333333"/>
                <w:sz w:val="19"/>
                <w:szCs w:val="19"/>
              </w:rPr>
              <w:t xml:space="preserve"> where core loss can dominate over DCR loss.</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Inductance vs. DC Bias Curve</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Application Review</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inductance at operating current</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actual inductance under load is always less than the nominal (zero-bias) value. Two inductors with identical nominal inductance can have very different L-vs-I curves depending on core material and geometry. </w:t>
            </w:r>
            <w:r>
              <w:rPr>
                <w:rFonts w:ascii="Arial" w:cs="Arial" w:eastAsia="Arial" w:hAnsi="Arial"/>
                <w:b/>
                <w:bCs/>
                <w:color w:val="2E75B6"/>
                <w:sz w:val="19"/>
                <w:szCs w:val="19"/>
              </w:rPr>
              <w:t xml:space="preserve">Ferrite cores</w:t>
            </w:r>
            <w:r>
              <w:rPr>
                <w:rFonts w:ascii="Arial" w:cs="Arial" w:eastAsia="Arial" w:hAnsi="Arial"/>
                <w:color w:val="333333"/>
                <w:sz w:val="19"/>
                <w:szCs w:val="19"/>
              </w:rPr>
              <w:t xml:space="preserve"> drop sharply near Isat; </w:t>
            </w:r>
            <w:r>
              <w:rPr>
                <w:rFonts w:ascii="Arial" w:cs="Arial" w:eastAsia="Arial" w:hAnsi="Arial"/>
                <w:b/>
                <w:bCs/>
                <w:color w:val="2E75B6"/>
                <w:sz w:val="19"/>
                <w:szCs w:val="19"/>
              </w:rPr>
              <w:t xml:space="preserve">composite/metal alloy cores</w:t>
            </w:r>
            <w:r>
              <w:rPr>
                <w:rFonts w:ascii="Arial" w:cs="Arial" w:eastAsia="Arial" w:hAnsi="Arial"/>
                <w:color w:val="333333"/>
                <w:sz w:val="19"/>
                <w:szCs w:val="19"/>
              </w:rPr>
              <w:t xml:space="preserve"> roll off gradually. For switching regulators, verify that the effective inductance at the maximum load current still meets the design requirements. Consult manufacturer DC bias curves or simulation tools.</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Construction Type</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Power inductors come in several construction types: </w:t>
            </w:r>
            <w:r>
              <w:rPr>
                <w:rFonts w:ascii="Arial" w:cs="Arial" w:eastAsia="Arial" w:hAnsi="Arial"/>
                <w:b/>
                <w:bCs/>
                <w:color w:val="2E75B6"/>
                <w:sz w:val="19"/>
                <w:szCs w:val="19"/>
              </w:rPr>
              <w:t xml:space="preserve">wire-wound</w:t>
            </w:r>
            <w:r>
              <w:rPr>
                <w:rFonts w:ascii="Arial" w:cs="Arial" w:eastAsia="Arial" w:hAnsi="Arial"/>
                <w:color w:val="333333"/>
                <w:sz w:val="19"/>
                <w:szCs w:val="19"/>
              </w:rPr>
              <w:t xml:space="preserve"> (traditional, wide range of values), </w:t>
            </w:r>
            <w:r>
              <w:rPr>
                <w:rFonts w:ascii="Arial" w:cs="Arial" w:eastAsia="Arial" w:hAnsi="Arial"/>
                <w:b/>
                <w:bCs/>
                <w:color w:val="2E75B6"/>
                <w:sz w:val="19"/>
                <w:szCs w:val="19"/>
              </w:rPr>
              <w:t xml:space="preserve">multilayer/thin-film</w:t>
            </w:r>
            <w:r>
              <w:rPr>
                <w:rFonts w:ascii="Arial" w:cs="Arial" w:eastAsia="Arial" w:hAnsi="Arial"/>
                <w:color w:val="333333"/>
                <w:sz w:val="19"/>
                <w:szCs w:val="19"/>
              </w:rPr>
              <w:t xml:space="preserve"> (compact, low inductance, very low profile), and </w:t>
            </w:r>
            <w:r>
              <w:rPr>
                <w:rFonts w:ascii="Arial" w:cs="Arial" w:eastAsia="Arial" w:hAnsi="Arial"/>
                <w:b/>
                <w:bCs/>
                <w:color w:val="2E75B6"/>
                <w:sz w:val="19"/>
                <w:szCs w:val="19"/>
              </w:rPr>
              <w:t xml:space="preserve">molded/metal composite</w:t>
            </w:r>
            <w:r>
              <w:rPr>
                <w:rFonts w:ascii="Arial" w:cs="Arial" w:eastAsia="Arial" w:hAnsi="Arial"/>
                <w:color w:val="333333"/>
                <w:sz w:val="19"/>
                <w:szCs w:val="19"/>
              </w:rPr>
              <w:t xml:space="preserve"> (high current, integrated shielding). Different constructions have fundamentally different performance characteristics and are not cross-compatible without full design review.</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Qualification (AEC-Q200)</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(Flag)</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If Original = Yes, Replacement = Yes</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Required for automotive applications. Power inductors in automotive environments face extreme thermal cycling, vibration, and humidity. AEC-Q200 qualified parts undergo rigorous life and environmental testing. A non-qualified part </w:t>
            </w:r>
            <w:r>
              <w:rPr>
                <w:rFonts w:ascii="Arial" w:cs="Arial" w:eastAsia="Arial" w:hAnsi="Arial"/>
                <w:b/>
                <w:bCs/>
                <w:color w:val="2E75B6"/>
                <w:sz w:val="19"/>
                <w:szCs w:val="19"/>
              </w:rPr>
              <w:t xml:space="preserve">cannot</w:t>
            </w:r>
            <w:r>
              <w:rPr>
                <w:rFonts w:ascii="Arial" w:cs="Arial" w:eastAsia="Arial" w:hAnsi="Arial"/>
                <w:color w:val="333333"/>
                <w:sz w:val="19"/>
                <w:szCs w:val="19"/>
              </w:rPr>
              <w:t xml:space="preserve"> replace a qualified one.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Moisture Sensitivity Level (MSL)</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Relevant for SMD power inductors, particularly molded types that can absorb moisture. </w:t>
            </w:r>
            <w:r>
              <w:rPr>
                <w:rFonts w:ascii="Arial" w:cs="Arial" w:eastAsia="Arial" w:hAnsi="Arial"/>
                <w:b/>
                <w:bCs/>
                <w:color w:val="2E75B6"/>
                <w:sz w:val="19"/>
                <w:szCs w:val="19"/>
              </w:rPr>
              <w:t xml:space="preserve">MSL 1</w:t>
            </w:r>
            <w:r>
              <w:rPr>
                <w:rFonts w:ascii="Arial" w:cs="Arial" w:eastAsia="Arial" w:hAnsi="Arial"/>
                <w:color w:val="333333"/>
                <w:sz w:val="19"/>
                <w:szCs w:val="19"/>
              </w:rPr>
              <w:t xml:space="preserve"> (unlimited floor life) is best. Higher MSL ratings require baking before reflow to prevent moisture-induced cracking or delamination during soldering.</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Termination Style</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Power inductors may have </w:t>
            </w:r>
            <w:r>
              <w:rPr>
                <w:rFonts w:ascii="Arial" w:cs="Arial" w:eastAsia="Arial" w:hAnsi="Arial"/>
                <w:b/>
                <w:bCs/>
                <w:color w:val="2E75B6"/>
                <w:sz w:val="19"/>
                <w:szCs w:val="19"/>
              </w:rPr>
              <w:t xml:space="preserve">SMD pads</w:t>
            </w:r>
            <w:r>
              <w:rPr>
                <w:rFonts w:ascii="Arial" w:cs="Arial" w:eastAsia="Arial" w:hAnsi="Arial"/>
                <w:color w:val="333333"/>
                <w:sz w:val="19"/>
                <w:szCs w:val="19"/>
              </w:rPr>
              <w:t xml:space="preserve">, </w:t>
            </w:r>
            <w:r>
              <w:rPr>
                <w:rFonts w:ascii="Arial" w:cs="Arial" w:eastAsia="Arial" w:hAnsi="Arial"/>
                <w:b/>
                <w:bCs/>
                <w:color w:val="2E75B6"/>
                <w:sz w:val="19"/>
                <w:szCs w:val="19"/>
              </w:rPr>
              <w:t xml:space="preserve">J-leads</w:t>
            </w:r>
            <w:r>
              <w:rPr>
                <w:rFonts w:ascii="Arial" w:cs="Arial" w:eastAsia="Arial" w:hAnsi="Arial"/>
                <w:color w:val="333333"/>
                <w:sz w:val="19"/>
                <w:szCs w:val="19"/>
              </w:rPr>
              <w:t xml:space="preserve">, </w:t>
            </w:r>
            <w:r>
              <w:rPr>
                <w:rFonts w:ascii="Arial" w:cs="Arial" w:eastAsia="Arial" w:hAnsi="Arial"/>
                <w:b/>
                <w:bCs/>
                <w:color w:val="2E75B6"/>
                <w:sz w:val="19"/>
                <w:szCs w:val="19"/>
              </w:rPr>
              <w:t xml:space="preserve">gull-wing</w:t>
            </w:r>
            <w:r>
              <w:rPr>
                <w:rFonts w:ascii="Arial" w:cs="Arial" w:eastAsia="Arial" w:hAnsi="Arial"/>
                <w:color w:val="333333"/>
                <w:sz w:val="19"/>
                <w:szCs w:val="19"/>
              </w:rPr>
              <w:t xml:space="preserve">, </w:t>
            </w:r>
            <w:r>
              <w:rPr>
                <w:rFonts w:ascii="Arial" w:cs="Arial" w:eastAsia="Arial" w:hAnsi="Arial"/>
                <w:b/>
                <w:bCs/>
                <w:color w:val="2E75B6"/>
                <w:sz w:val="19"/>
                <w:szCs w:val="19"/>
              </w:rPr>
              <w:t xml:space="preserve">through-hole</w:t>
            </w:r>
            <w:r>
              <w:rPr>
                <w:rFonts w:ascii="Arial" w:cs="Arial" w:eastAsia="Arial" w:hAnsi="Arial"/>
                <w:color w:val="333333"/>
                <w:sz w:val="19"/>
                <w:szCs w:val="19"/>
              </w:rPr>
              <w:t xml:space="preserve">, or </w:t>
            </w:r>
            <w:r>
              <w:rPr>
                <w:rFonts w:ascii="Arial" w:cs="Arial" w:eastAsia="Arial" w:hAnsi="Arial"/>
                <w:b/>
                <w:bCs/>
                <w:color w:val="2E75B6"/>
                <w:sz w:val="19"/>
                <w:szCs w:val="19"/>
              </w:rPr>
              <w:t xml:space="preserve">castellated</w:t>
            </w:r>
            <w:r>
              <w:rPr>
                <w:rFonts w:ascii="Arial" w:cs="Arial" w:eastAsia="Arial" w:hAnsi="Arial"/>
                <w:color w:val="333333"/>
                <w:sz w:val="19"/>
                <w:szCs w:val="19"/>
              </w:rPr>
              <w:t xml:space="preserve"> terminations. These are not interchangeable. The termination style must match the PCB land pattern and reflow/wave solder process exactly.</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Packaging (Tape &amp; Reel, etc.)</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Operational</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Production Match</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2E75B6"/>
                <w:sz w:val="19"/>
                <w:szCs w:val="19"/>
              </w:rPr>
              <w:t xml:space="preserve">Tape &amp; Reel</w:t>
            </w:r>
            <w:r>
              <w:rPr>
                <w:rFonts w:ascii="Arial" w:cs="Arial" w:eastAsia="Arial" w:hAnsi="Arial"/>
                <w:color w:val="333333"/>
                <w:sz w:val="19"/>
                <w:szCs w:val="19"/>
              </w:rPr>
              <w:t xml:space="preserve"> is required for automated SMD pick-and-place. Power inductors are heavier than passive chips, so verify the reel and feeder can handle the component weight. </w:t>
            </w:r>
            <w:r>
              <w:rPr>
                <w:rFonts w:ascii="Arial" w:cs="Arial" w:eastAsia="Arial" w:hAnsi="Arial"/>
                <w:b/>
                <w:bCs/>
                <w:color w:val="2E75B6"/>
                <w:sz w:val="19"/>
                <w:szCs w:val="19"/>
              </w:rPr>
              <w:t xml:space="preserve">Tray</w:t>
            </w:r>
            <w:r>
              <w:rPr>
                <w:rFonts w:ascii="Arial" w:cs="Arial" w:eastAsia="Arial" w:hAnsi="Arial"/>
                <w:color w:val="333333"/>
                <w:sz w:val="19"/>
                <w:szCs w:val="19"/>
              </w:rPr>
              <w:t xml:space="preserve"> packaging is common for larger inductors and may require different feeder setups. </w:t>
            </w:r>
            <w:r>
              <w:rPr>
                <w:rFonts w:ascii="Arial" w:cs="Arial" w:eastAsia="Arial" w:hAnsi="Arial"/>
                <w:b/>
                <w:bCs/>
                <w:color w:val="2E75B6"/>
                <w:sz w:val="19"/>
                <w:szCs w:val="19"/>
              </w:rPr>
              <w:t xml:space="preserve">Bulk</w:t>
            </w:r>
            <w:r>
              <w:rPr>
                <w:rFonts w:ascii="Arial" w:cs="Arial" w:eastAsia="Arial" w:hAnsi="Arial"/>
                <w:color w:val="333333"/>
                <w:sz w:val="19"/>
                <w:szCs w:val="19"/>
              </w:rPr>
              <w:t xml:space="preserve"> requires manual placement.</w:t>
            </w:r>
          </w:p>
        </w:tc>
      </w:tr>
    </w:tbl>
    <w:p>
      <w:pPr>
        <w:spacing w:before="360" w:after="120"/>
      </w:pPr>
    </w:p>
    <w:p>
      <w:pPr>
        <w:pStyle w:val="Heading2"/>
      </w:pPr>
      <w:r>
        <w:rPr>
          <w:rFonts w:ascii="Arial" w:cs="Arial" w:eastAsia="Arial" w:hAnsi="Arial"/>
          <w:b/>
          <w:bCs/>
          <w:color w:val="333333"/>
          <w:sz w:val="26"/>
          <w:szCs w:val="26"/>
        </w:rPr>
        <w:t xml:space="preserve">Logic Type Definitions</w:t>
      </w:r>
    </w:p>
    <w:p>
      <w:pPr>
        <w:spacing w:after="80" w:line="276"/>
      </w:pPr>
      <w:r>
        <w:rPr>
          <w:rFonts w:ascii="Arial" w:cs="Arial" w:eastAsia="Arial" w:hAnsi="Arial"/>
          <w:b/>
          <w:bCs/>
          <w:sz w:val="20"/>
          <w:szCs w:val="20"/>
        </w:rPr>
        <w:t xml:space="preserve">Identity: </w:t>
      </w:r>
      <w:r>
        <w:rPr>
          <w:rFonts w:ascii="Arial" w:cs="Arial" w:eastAsia="Arial" w:hAnsi="Arial"/>
          <w:sz w:val="20"/>
          <w:szCs w:val="20"/>
        </w:rPr>
        <w:t xml:space="preserve">The replacement value must exactly match the original. No deviation allowed.</w:t>
      </w:r>
    </w:p>
    <w:p>
      <w:pPr>
        <w:spacing w:after="80" w:line="276"/>
      </w:pPr>
      <w:r>
        <w:rPr>
          <w:rFonts w:ascii="Arial" w:cs="Arial" w:eastAsia="Arial" w:hAnsi="Arial"/>
          <w:b/>
          <w:bCs/>
          <w:sz w:val="20"/>
          <w:szCs w:val="20"/>
        </w:rPr>
        <w:t xml:space="preserve">Identity (Upgrade Only): </w:t>
      </w:r>
      <w:r>
        <w:rPr>
          <w:rFonts w:ascii="Arial" w:cs="Arial" w:eastAsia="Arial" w:hAnsi="Arial"/>
          <w:sz w:val="20"/>
          <w:szCs w:val="20"/>
        </w:rPr>
        <w:t xml:space="preserve">Must match or be a strictly superior variant (e.g., iron powder → metal composite may be an upgrade depending on application).</w:t>
      </w:r>
    </w:p>
    <w:p>
      <w:pPr>
        <w:spacing w:after="80" w:line="276"/>
      </w:pPr>
      <w:r>
        <w:rPr>
          <w:rFonts w:ascii="Arial" w:cs="Arial" w:eastAsia="Arial" w:hAnsi="Arial"/>
          <w:b/>
          <w:bCs/>
          <w:sz w:val="20"/>
          <w:szCs w:val="20"/>
        </w:rPr>
        <w:t xml:space="preserve">Identity (Flag): </w:t>
      </w:r>
      <w:r>
        <w:rPr>
          <w:rFonts w:ascii="Arial" w:cs="Arial" w:eastAsia="Arial" w:hAnsi="Arial"/>
          <w:sz w:val="20"/>
          <w:szCs w:val="20"/>
        </w:rPr>
        <w:t xml:space="preserve">A boolean attribute. If the original requires it, the replacement must also have it. If the original does not, either value is acceptable.</w:t>
      </w:r>
    </w:p>
    <w:p>
      <w:pPr>
        <w:spacing w:after="80" w:line="276"/>
      </w:pPr>
      <w:r>
        <w:rPr>
          <w:rFonts w:ascii="Arial" w:cs="Arial" w:eastAsia="Arial" w:hAnsi="Arial"/>
          <w:b/>
          <w:bCs/>
          <w:sz w:val="20"/>
          <w:szCs w:val="20"/>
        </w:rPr>
        <w:t xml:space="preserve">Threshold: </w:t>
      </w:r>
      <w:r>
        <w:rPr>
          <w:rFonts w:ascii="Arial" w:cs="Arial" w:eastAsia="Arial" w:hAnsi="Arial"/>
          <w:sz w:val="20"/>
          <w:szCs w:val="20"/>
        </w:rPr>
        <w:t xml:space="preserve">A numeric attribute where the replacement must meet or exceed (or be at/below) a boundary defined by the original part’s spec.</w:t>
      </w:r>
    </w:p>
    <w:p>
      <w:pPr>
        <w:spacing w:after="80" w:line="276"/>
      </w:pPr>
      <w:r>
        <w:rPr>
          <w:rFonts w:ascii="Arial" w:cs="Arial" w:eastAsia="Arial" w:hAnsi="Arial"/>
          <w:b/>
          <w:bCs/>
          <w:sz w:val="20"/>
          <w:szCs w:val="20"/>
        </w:rPr>
        <w:t xml:space="preserve">Fit: </w:t>
      </w:r>
      <w:r>
        <w:rPr>
          <w:rFonts w:ascii="Arial" w:cs="Arial" w:eastAsia="Arial" w:hAnsi="Arial"/>
          <w:sz w:val="20"/>
          <w:szCs w:val="20"/>
        </w:rPr>
        <w:t xml:space="preserve">A physical/dimensional constraint. The replacement must physically fit in the same space.</w:t>
      </w:r>
    </w:p>
    <w:p>
      <w:pPr>
        <w:spacing w:after="80" w:line="276"/>
      </w:pPr>
      <w:r>
        <w:rPr>
          <w:rFonts w:ascii="Arial" w:cs="Arial" w:eastAsia="Arial" w:hAnsi="Arial"/>
          <w:b/>
          <w:bCs/>
          <w:sz w:val="20"/>
          <w:szCs w:val="20"/>
        </w:rPr>
        <w:t xml:space="preserve">Application Review: </w:t>
      </w:r>
      <w:r>
        <w:rPr>
          <w:rFonts w:ascii="Arial" w:cs="Arial" w:eastAsia="Arial" w:hAnsi="Arial"/>
          <w:sz w:val="20"/>
          <w:szCs w:val="20"/>
        </w:rPr>
        <w:t xml:space="preserve">Cannot be fully automated by spec comparison alone. Requires circuit-level analysis or manufacturer data (e.g., L-vs-I curves) to validate.</w:t>
      </w:r>
    </w:p>
    <w:p>
      <w:pPr>
        <w:spacing w:after="80" w:line="276"/>
      </w:pPr>
      <w:r>
        <w:rPr>
          <w:rFonts w:ascii="Arial" w:cs="Arial" w:eastAsia="Arial" w:hAnsi="Arial"/>
          <w:b/>
          <w:bCs/>
          <w:sz w:val="20"/>
          <w:szCs w:val="20"/>
        </w:rPr>
        <w:t xml:space="preserve">Operational: </w:t>
      </w:r>
      <w:r>
        <w:rPr>
          <w:rFonts w:ascii="Arial" w:cs="Arial" w:eastAsia="Arial" w:hAnsi="Arial"/>
          <w:sz w:val="20"/>
          <w:szCs w:val="20"/>
        </w:rPr>
        <w:t xml:space="preserve">A non-electrical parameter relevant to manufacturing or supply chain compatibility.</w:t>
      </w:r>
    </w:p>
    <w:p>
      <w:pPr>
        <w:spacing w:before="240" w:after="120"/>
      </w:pPr>
    </w:p>
    <w:p>
      <w:pPr>
        <w:pStyle w:val="Heading2"/>
      </w:pPr>
      <w:r>
        <w:rPr>
          <w:rFonts w:ascii="Arial" w:cs="Arial" w:eastAsia="Arial" w:hAnsi="Arial"/>
          <w:b/>
          <w:bCs/>
          <w:color w:val="333333"/>
          <w:sz w:val="26"/>
          <w:szCs w:val="26"/>
        </w:rPr>
        <w:t xml:space="preserve">Power Inductor-Specific Notes</w:t>
      </w:r>
    </w:p>
    <w:p>
      <w:pPr>
        <w:spacing w:after="100" w:line="276"/>
      </w:pPr>
      <w:r>
        <w:rPr>
          <w:rFonts w:ascii="Arial" w:cs="Arial" w:eastAsia="Arial" w:hAnsi="Arial"/>
          <w:b/>
          <w:bCs/>
          <w:sz w:val="20"/>
          <w:szCs w:val="20"/>
        </w:rPr>
        <w:t xml:space="preserve">Isat vs. Irms — Two Independent Limits: </w:t>
      </w:r>
      <w:r>
        <w:rPr>
          <w:rFonts w:ascii="Arial" w:cs="Arial" w:eastAsia="Arial" w:hAnsi="Arial"/>
          <w:sz w:val="20"/>
          <w:szCs w:val="20"/>
        </w:rPr>
        <w:t xml:space="preserve">Saturation current (Isat) is the magnetic limit—the current at which the core saturates and inductance collapses. Rated/RMS current (Irms) is the thermal limit—the current at which self-heating reaches a specified temperature rise. These are independent parameters. A high-Isat inductor may have low Irms (thin wire, high DCR) and vice versa. Both must be satisfied simultaneously for a valid replacement.</w:t>
      </w:r>
    </w:p>
    <w:p>
      <w:pPr>
        <w:spacing w:after="100" w:line="276"/>
      </w:pPr>
      <w:r>
        <w:rPr>
          <w:rFonts w:ascii="Arial" w:cs="Arial" w:eastAsia="Arial" w:hAnsi="Arial"/>
          <w:b/>
          <w:bCs/>
          <w:sz w:val="20"/>
          <w:szCs w:val="20"/>
        </w:rPr>
        <w:t xml:space="preserve">Isat Definition Varies by Manufacturer: </w:t>
      </w:r>
      <w:r>
        <w:rPr>
          <w:rFonts w:ascii="Arial" w:cs="Arial" w:eastAsia="Arial" w:hAnsi="Arial"/>
          <w:sz w:val="20"/>
          <w:szCs w:val="20"/>
        </w:rPr>
        <w:t xml:space="preserve">There is no universal standard for Isat measurement. Some manufacturers define it at 20% inductance drop, others at 30%, and some at 10%. When comparing Isat between parts from different manufacturers, always check the definition. A part rated “5A Isat at 30% drop” may actually have less headroom than one rated “4.5A Isat at 10% drop.” Normalize to the same drop percentage before comparing, or consult the full L-vs-I curve.</w:t>
      </w:r>
    </w:p>
    <w:p>
      <w:pPr>
        <w:spacing w:after="100" w:line="276"/>
      </w:pPr>
      <w:r>
        <w:rPr>
          <w:rFonts w:ascii="Arial" w:cs="Arial" w:eastAsia="Arial" w:hAnsi="Arial"/>
          <w:b/>
          <w:bCs/>
          <w:sz w:val="20"/>
          <w:szCs w:val="20"/>
        </w:rPr>
        <w:t xml:space="preserve">Hard vs. Soft Saturation: </w:t>
      </w:r>
      <w:r>
        <w:rPr>
          <w:rFonts w:ascii="Arial" w:cs="Arial" w:eastAsia="Arial" w:hAnsi="Arial"/>
          <w:sz w:val="20"/>
          <w:szCs w:val="20"/>
        </w:rPr>
        <w:t xml:space="preserve">Ferrite cores exhibit hard (abrupt) saturation—inductance drops steeply once the knee is reached, which can cause a switching regulator to lose control and oscillate or latch up. Metal composite and iron powder cores exhibit soft (gradual) saturation, providing more graceful degradation under overload. Replacing a soft-saturation inductor with a ferrite inductor of the same Isat rating may introduce instability at peak loads, even though the Isat number appears equivalent.</w:t>
      </w:r>
    </w:p>
    <w:p>
      <w:pPr>
        <w:spacing w:after="100" w:line="276"/>
      </w:pPr>
      <w:r>
        <w:rPr>
          <w:rFonts w:ascii="Arial" w:cs="Arial" w:eastAsia="Arial" w:hAnsi="Arial"/>
          <w:b/>
          <w:bCs/>
          <w:sz w:val="20"/>
          <w:szCs w:val="20"/>
        </w:rPr>
        <w:t xml:space="preserve">Thermal Derating of Isat: </w:t>
      </w:r>
      <w:r>
        <w:rPr>
          <w:rFonts w:ascii="Arial" w:cs="Arial" w:eastAsia="Arial" w:hAnsi="Arial"/>
          <w:sz w:val="20"/>
          <w:szCs w:val="20"/>
        </w:rPr>
        <w:t xml:space="preserve">Ferrite core saturation current decreases significantly at elevated temperatures (ferrite’s saturation flux density drops with temperature). A ferrite inductor rated at 5A Isat at 25°C may only deliver 3.5–4A Isat at 125°C. Metal composite cores are much more thermally stable. When operating near the Isat limit at elevated temperatures, consult the manufacturer’s temperature derating data.</w:t>
      </w:r>
    </w:p>
    <w:p>
      <w:pPr>
        <w:spacing w:after="100" w:line="276"/>
      </w:pPr>
      <w:r>
        <w:rPr>
          <w:rFonts w:ascii="Arial" w:cs="Arial" w:eastAsia="Arial" w:hAnsi="Arial"/>
          <w:b/>
          <w:bCs/>
          <w:sz w:val="20"/>
          <w:szCs w:val="20"/>
        </w:rPr>
        <w:t xml:space="preserve">Footprint Compatibility Warning: </w:t>
      </w:r>
      <w:r>
        <w:rPr>
          <w:rFonts w:ascii="Arial" w:cs="Arial" w:eastAsia="Arial" w:hAnsi="Arial"/>
          <w:sz w:val="20"/>
          <w:szCs w:val="20"/>
        </w:rPr>
        <w:t xml:space="preserve">Unlike resistors and capacitors, power inductor footprints are poorly standardized. Two inductors with the same “size code” (e.g., 1210 or 4x4mm) from different manufacturers may have different pad dimensions, pad spacing, or even different numbers of pads (some use center pads for thermal relief). Always verify the actual land pattern against the manufacturer’s recommended footprint drawing, not just the size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2026-02-10T17:30:32.958Z</dcterms:created>
  <dcterms:modified xsi:type="dcterms:W3CDTF">2026-02-10T17:30:32.959Z</dcterms:modified>
</cp:coreProperties>
</file>

<file path=docProps/custom.xml><?xml version="1.0" encoding="utf-8"?>
<Properties xmlns="http://schemas.openxmlformats.org/officeDocument/2006/custom-properties" xmlns:vt="http://schemas.openxmlformats.org/officeDocument/2006/docPropsVTypes"/>
</file>