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Bdr>
          <w:bottom w:val="single" w:color="B8963E" w:sz="8"/>
        </w:pBdr>
        <w:spacing w:before="0" w:after="200"/>
      </w:pPr>
      <w:r>
        <w:rPr>
          <w:rFonts w:ascii="Arial" w:cs="Arial" w:eastAsia="Arial" w:hAnsi="Arial"/>
          <w:b/>
          <w:bCs/>
          <w:color w:val="0D1B2A"/>
          <w:sz w:val="36"/>
          <w:szCs w:val="36"/>
        </w:rPr>
        <w:t xml:space="preserve">I.  THE MATH AND SCIENCE OF SUBSCRIPTION TIERS</w:t>
      </w:r>
    </w:p>
    <w:p>
      <w:pPr>
        <w:pBdr>
          <w:left w:val="thick" w:color="B8963E" w:sz="20"/>
        </w:pBdr>
        <w:spacing w:before="160" w:after="160"/>
        <w:ind w:left="560" w:right="280"/>
      </w:pPr>
      <w:r>
        <w:rPr>
          <w:rFonts w:ascii="Georgia" w:cs="Georgia" w:eastAsia="Georgia" w:hAnsi="Georgia"/>
          <w:i/>
          <w:iCs/>
          <w:color w:val="222222"/>
          <w:sz w:val="21"/>
          <w:szCs w:val="21"/>
        </w:rPr>
        <w:t xml:space="preserve">The question is not what feels right. The question is what the data says. Three decades of behavioural economics research on tiered pricing produces clear, consistent findings. Build from those first — then adjust for The Concord's specific design constraints.</w:t>
      </w:r>
    </w:p>
    <w:p>
      <w:pPr>
        <w:pStyle w:val="Heading2"/>
        <w:spacing w:before="320" w:after="100"/>
      </w:pPr>
      <w:r>
        <w:rPr>
          <w:rFonts w:ascii="Arial" w:cs="Arial" w:eastAsia="Arial" w:hAnsi="Arial"/>
          <w:b/>
          <w:bCs/>
          <w:color w:val="2E4057"/>
          <w:sz w:val="26"/>
          <w:szCs w:val="26"/>
        </w:rPr>
        <w:t xml:space="preserve">1.1  What the Research Establishes</w:t>
      </w:r>
    </w:p>
    <w:p>
      <w:pPr>
        <w:spacing w:before="60" w:after="80"/>
      </w:pPr>
      <w:r>
        <w:rPr>
          <w:rFonts w:ascii="Georgia" w:cs="Georgia" w:eastAsia="Georgia" w:hAnsi="Georgia"/>
          <w:color w:val="4A5568"/>
          <w:sz w:val="20"/>
          <w:szCs w:val="20"/>
        </w:rPr>
        <w:t xml:space="preserve">Three-tier pricing is not a convention. It is a mathematical outcome of how human decision-making works. The research is consistent across decades and industries: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FINDING</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EVIDENCE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Middle tier wins</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When presented with three options, roughly 57% of buyers choose the middle tier. This is called the Compromise Effect — the middle feels safe, avoids overpaying, avoids getting the cheap version.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Top tier anchors value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premium tier's primary job is not revenue — it is to make the middle tier feel reasonable. A high anchor makes the middle price look like the smart choice, not an indulgence.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Equal gaps work</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Your $15/$25/$35 structure ($10 gap each) is psychologically stable. Research recommends the middle at 1.5–2.5× the base. $25 is 1.67× — exactly in range.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Four or more tiers hurt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Users spend an average of 6 seconds on a pricing page. Four options trigger decision paralysis — they either pick cheapest or leave. Three is the cognitive maximum for comfortable comparison.</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Charm pricing adds ~24% lift</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Prices ending in .99 outperform round numbers by approximately 24% due to left-digit bias. $14.99/$24.99/$34.99 outperforms $15/$25/$35 in conversion — but $15/$25/$35 signals quality over discount.</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Decision: </w:t>
      </w:r>
      <w:r>
        <w:rPr>
          <w:rFonts w:ascii="Georgia" w:cs="Georgia" w:eastAsia="Georgia" w:hAnsi="Georgia"/>
          <w:color w:val="4A5568"/>
          <w:sz w:val="20"/>
          <w:szCs w:val="20"/>
        </w:rPr>
        <w:t xml:space="preserve">Use $15.00/$25.00/$35.00 as clean round numbers. The Concord is a premium product, not a discount service. Round numbers signal quality and permanence — appropriate for a game about civilisational legacies. Run A/B tests at launch on .99 variants and let the data decide within 90 days.</w:t>
      </w:r>
    </w:p>
    <w:p>
      <w:pPr>
        <w:pStyle w:val="Heading2"/>
        <w:spacing w:before="320" w:after="100"/>
      </w:pPr>
      <w:r>
        <w:rPr>
          <w:rFonts w:ascii="Arial" w:cs="Arial" w:eastAsia="Arial" w:hAnsi="Arial"/>
          <w:b/>
          <w:bCs/>
          <w:color w:val="2E4057"/>
          <w:sz w:val="26"/>
          <w:szCs w:val="26"/>
        </w:rPr>
        <w:t xml:space="preserve">1.2  The Lineage Count Decision — Pure Economics</w:t>
      </w:r>
    </w:p>
    <w:p>
      <w:pPr>
        <w:spacing w:before="60" w:after="80"/>
      </w:pPr>
      <w:r>
        <w:rPr>
          <w:rFonts w:ascii="Georgia" w:cs="Georgia" w:eastAsia="Georgia" w:hAnsi="Georgia"/>
          <w:color w:val="4A5568"/>
          <w:sz w:val="20"/>
          <w:szCs w:val="20"/>
        </w:rPr>
        <w:t xml:space="preserve">This is the question where instinct and data diverge most. The industry is generous: WoW allows 50 characters across realms, most MMOs default to 8–12 slots per account. But The Concord is not a class-based MMO. The comparison is wrong.</w:t>
      </w:r>
    </w:p>
    <w:p>
      <w:pPr>
        <w:spacing w:before="60" w:after="80"/>
      </w:pPr>
      <w:r>
        <w:rPr>
          <w:rFonts w:ascii="Georgia" w:cs="Georgia" w:eastAsia="Georgia" w:hAnsi="Georgia"/>
          <w:color w:val="4A5568"/>
          <w:sz w:val="20"/>
          <w:szCs w:val="20"/>
        </w:rPr>
        <w:t xml:space="preserve">The correct analogy is not 'how many alts can I have' — it is 'how many simultaneous economic and political power bases can one player operate.' Each dynasty in The Concord files surveys, owns or bids on worlds, accumulates KALON, influences political factions, and generates history in the Remembrance. More dynasties is not more fun the same way more character classes is more fun. It is more leverage.</w:t>
      </w:r>
    </w:p>
    <w:p>
      <w:pPr>
        <w:spacing w:before="60" w:after="80"/>
      </w:pPr>
      <w:r>
        <w:rPr>
          <w:rFonts w:ascii="Georgia" w:cs="Georgia" w:eastAsia="Georgia" w:hAnsi="Georgia"/>
          <w:color w:val="4A5568"/>
          <w:sz w:val="20"/>
          <w:szCs w:val="20"/>
        </w:rPr>
        <w:t xml:space="preserve">This creates a specific problem: generous lineage counts in an economy-driven game with real secondary markets (World Sovereignty auctions, MARKS trading) creates structural inequality between players who can manage multiple dynasties and those who cannot. The EVE Online case study is instructive — multiple accounts became effectively mandatory for serious play and was described by players themselves as 'disguised pay-to-win.' That outcome was not designed. It emerged.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OPTION</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TIERS</w:t>
            </w:r>
          </w:p>
        </w:tc>
        <w:tc>
          <w:tcPr>
            <w:tcW w:type="dxa" w:w="5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ANALYSIS</w:t>
            </w:r>
          </w:p>
        </w:tc>
      </w:tr>
      <w:tr>
        <w:tc>
          <w:tcPr>
            <w:tcW w:type="dxa" w:w="160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INDUSTRY STANDARD</w:t>
            </w:r>
          </w:p>
        </w:tc>
        <w:tc>
          <w:tcPr>
            <w:tcW w:type="dxa" w:w="180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pPr>
              <w:jc w:val="left"/>
            </w:pPr>
            <w:r>
              <w:rPr>
                <w:rFonts w:ascii="Arial" w:cs="Arial" w:eastAsia="Arial" w:hAnsi="Arial"/>
                <w:b/>
                <w:bCs/>
                <w:color w:val="FFFFFF"/>
                <w:sz w:val="18"/>
                <w:szCs w:val="18"/>
              </w:rPr>
              <w:t xml:space="preserve">2 / 4 / 6</w:t>
            </w:r>
          </w:p>
        </w:tc>
        <w:tc>
          <w:tcPr>
            <w:tcW w:type="dxa" w:w="5960"/>
            <w:tcBorders>
              <w:top w:val="single" w:color="CCCCCC" w:sz="1"/>
              <w:left w:val="single" w:color="CCCCCC" w:sz="1"/>
              <w:bottom w:val="single" w:color="CCCCCC" w:sz="1"/>
              <w:right w:val="single" w:color="CCCCCC" w:sz="1"/>
            </w:tcBorders>
            <w:shd w:fill="4A5568"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Widest raw audience appeal. BUT: at 6 dynasties per account, top-tier players effectively run a guild from a single login. World auction market concentrates rapidly. Economy becomes dominated by multi-dynasty operators within months of launch. Not a moral concern — a game-balance and player-retention concern.</w:t>
            </w:r>
          </w:p>
        </w:tc>
      </w:tr>
      <w:tr>
        <w:tc>
          <w:tcPr>
            <w:tcW w:type="dxa" w:w="160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GENEROUS MIDDLE</w:t>
            </w:r>
          </w:p>
        </w:tc>
        <w:tc>
          <w:tcPr>
            <w:tcW w:type="dxa" w:w="180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2 / 4 / 5</w:t>
            </w:r>
          </w:p>
        </w:tc>
        <w:tc>
          <w:tcPr>
            <w:tcW w:type="dxa" w:w="596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Reduces concentration slightly. Still generates the EVE problem at top tier. Wider appeal than strict model. The '5 at top' has no clean narrative justification.</w:t>
            </w:r>
          </w:p>
        </w:tc>
      </w:tr>
      <w:tr>
        <w:tc>
          <w:tcPr>
            <w:tcW w:type="dxa" w:w="1600"/>
            <w:tcBorders>
              <w:top w:val="single" w:color="1A3A1A" w:sz="1"/>
              <w:left w:val="single" w:color="1A3A1A" w:sz="1"/>
              <w:bottom w:val="single" w:color="1A3A1A" w:sz="1"/>
              <w:right w:val="single" w:color="1A3A1A" w:sz="1"/>
            </w:tcBorders>
            <w:shd w:fill="1A4A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SWEET SPOT</w:t>
            </w:r>
          </w:p>
        </w:tc>
        <w:tc>
          <w:tcPr>
            <w:tcW w:type="dxa" w:w="1800"/>
            <w:tcBorders>
              <w:top w:val="single" w:color="1A3A1A" w:sz="1"/>
              <w:left w:val="single" w:color="1A3A1A" w:sz="1"/>
              <w:bottom w:val="single" w:color="1A3A1A" w:sz="1"/>
              <w:right w:val="single" w:color="1A3A1A" w:sz="1"/>
            </w:tcBorders>
            <w:shd w:fill="1A4A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1 / 2 / 3</w:t>
            </w:r>
          </w:p>
        </w:tc>
        <w:tc>
          <w:tcPr>
            <w:tcW w:type="dxa" w:w="5960"/>
            <w:tcBorders>
              <w:top w:val="single" w:color="1A3A1A" w:sz="1"/>
              <w:left w:val="single" w:color="1A3A1A" w:sz="1"/>
              <w:bottom w:val="single" w:color="1A3A1A" w:sz="1"/>
              <w:right w:val="single" w:color="1A3A1A" w:sz="1"/>
            </w:tcBorders>
            <w:shd w:fill="1A4A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Mathematically defensible. Maintains single-shard economy health. Prevents in-account multi-dynasty dominance. Players who want more buy second accounts — generating full revenue rather than marginal tier uplift. Feels strict to alt-lovers but is correct for this specific game type.</w:t>
            </w:r>
          </w:p>
        </w:tc>
      </w:tr>
      <w:tr>
        <w:tc>
          <w:tcPr>
            <w:tcW w:type="dxa" w:w="1600"/>
            <w:tcBorders>
              <w:top w:val="single" w:color="CCCCCC" w:sz="1"/>
              <w:left w:val="single" w:color="CCCCCC" w:sz="1"/>
              <w:bottom w:val="single" w:color="CCCCCC" w:sz="1"/>
              <w:right w:val="single" w:color="CCCCCC" w:sz="1"/>
            </w:tcBorders>
            <w:shd w:fill="6A3A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COMPROMISE</w:t>
            </w:r>
          </w:p>
        </w:tc>
        <w:tc>
          <w:tcPr>
            <w:tcW w:type="dxa" w:w="1800"/>
            <w:tcBorders>
              <w:top w:val="single" w:color="CCCCCC" w:sz="1"/>
              <w:left w:val="single" w:color="CCCCCC" w:sz="1"/>
              <w:bottom w:val="single" w:color="CCCCCC" w:sz="1"/>
              <w:right w:val="single" w:color="CCCCCC" w:sz="1"/>
            </w:tcBorders>
            <w:shd w:fill="6A3A0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1 / 3 / 5</w:t>
            </w:r>
          </w:p>
        </w:tc>
        <w:tc>
          <w:tcPr>
            <w:tcW w:type="dxa" w:w="5960"/>
            <w:tcBorders>
              <w:top w:val="single" w:color="CCCCCC" w:sz="1"/>
              <w:left w:val="single" w:color="CCCCCC" w:sz="1"/>
              <w:bottom w:val="single" w:color="CCCCCC" w:sz="1"/>
              <w:right w:val="single" w:color="CCCCCC" w:sz="1"/>
            </w:tcBorders>
            <w:shd w:fill="6A3A00"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Gives the middle tier a strong perceived jump (3 feels like a lot vs 1). Top tier at 5 is meaningful but not economy-breaking for a single player. Worth A/B testing at launch. Flag as variable.</w:t>
            </w:r>
          </w:p>
        </w:tc>
      </w:tr>
    </w:tbl>
    <w:p>
      <w:pPr>
        <w:spacing w:before="120" w:after="120"/>
      </w:pPr>
      <w:r>
        <w:t xml:space="preserve"/>
      </w:r>
    </w:p>
    <w:p>
      <w:pPr>
        <w:spacing w:before="60" w:after="80"/>
      </w:pPr>
      <w:r>
        <w:rPr>
          <w:rFonts w:ascii="Georgia" w:cs="Georgia" w:eastAsia="Georgia" w:hAnsi="Georgia"/>
          <w:b/>
          <w:bCs/>
          <w:color w:val="1A4A2A"/>
          <w:sz w:val="20"/>
          <w:szCs w:val="20"/>
        </w:rPr>
        <w:t xml:space="preserve">Recommended at launch: 1/2/3. </w:t>
      </w:r>
      <w:r>
        <w:rPr>
          <w:rFonts w:ascii="Georgia" w:cs="Georgia" w:eastAsia="Georgia" w:hAnsi="Georgia"/>
          <w:color w:val="4A5568"/>
          <w:sz w:val="20"/>
          <w:szCs w:val="20"/>
        </w:rPr>
        <w:t xml:space="preserve">Flag the lineage count as a live variable. Design the economy with 1/2/3 as baseline. Run the maths on world auction concentration at 6 months, 12 months, 24 months. If concentration metrics show healthy distribution, consider expanding to 1/3/5 at first major update. Do not start generous — you can always add, never take away.</w:t>
      </w:r>
    </w:p>
    <w:p>
      <w:pPr>
        <w:spacing w:before="60" w:after="80"/>
      </w:pPr>
      <w:r>
        <w:rPr>
          <w:rFonts w:ascii="Georgia" w:cs="Georgia" w:eastAsia="Georgia" w:hAnsi="Georgia"/>
          <w:color w:val="4A5568"/>
          <w:sz w:val="20"/>
          <w:szCs w:val="20"/>
        </w:rPr>
        <w:t xml:space="preserve">The goal is the widest audience who stays and plays for years, not the widest audience who joins and leaves when they discover the economy is broken. These are different optimisation targets.</w:t>
      </w:r>
    </w:p>
    <w:p>
      <w:pPr>
        <w:pStyle w:val="Heading1"/>
        <w:pageBreakBefore/>
        <w:pBdr>
          <w:bottom w:val="single" w:color="B8963E" w:sz="8"/>
        </w:pBdr>
        <w:spacing w:before="0" w:after="200"/>
      </w:pPr>
      <w:r>
        <w:rPr>
          <w:rFonts w:ascii="Arial" w:cs="Arial" w:eastAsia="Arial" w:hAnsi="Arial"/>
          <w:b/>
          <w:bCs/>
          <w:color w:val="0D1B2A"/>
          <w:sz w:val="36"/>
          <w:szCs w:val="36"/>
        </w:rPr>
        <w:t xml:space="preserve">II.  THE THREE TIERS — COMPLETE FEATURE ARCHITECTURE</w:t>
      </w:r>
    </w:p>
    <w:p>
      <w:pPr>
        <w:pBdr>
          <w:left w:val="thick" w:color="B8963E" w:sz="20"/>
        </w:pBdr>
        <w:spacing w:before="160" w:after="160"/>
        <w:ind w:left="560" w:right="280"/>
      </w:pPr>
      <w:r>
        <w:rPr>
          <w:rFonts w:ascii="Georgia" w:cs="Georgia" w:eastAsia="Georgia" w:hAnsi="Georgia"/>
          <w:i/>
          <w:iCs/>
          <w:color w:val="222222"/>
          <w:sz w:val="21"/>
          <w:szCs w:val="21"/>
        </w:rPr>
        <w:t xml:space="preserve">Every tier must feel complete at its price point. The base tier is not a demo. The middle tier earns its $10 premium through genuine quality-of-life improvements that players genuinely feel. The top tier earns its additional $10 through breadth and status, not power.</w:t>
      </w:r>
    </w:p>
    <w:p>
      <w:pPr>
        <w:pStyle w:val="Heading2"/>
        <w:spacing w:before="320" w:after="100"/>
      </w:pPr>
      <w:r>
        <w:rPr>
          <w:rFonts w:ascii="Arial" w:cs="Arial" w:eastAsia="Arial" w:hAnsi="Arial"/>
          <w:b/>
          <w:bCs/>
          <w:color w:val="2E4057"/>
          <w:sz w:val="26"/>
          <w:szCs w:val="26"/>
        </w:rPr>
        <w:t xml:space="preserve">2.1  Design Rules — Non-Negotiable</w:t>
      </w:r>
    </w:p>
    <w:p>
      <w:pPr>
        <w:pStyle w:val="ListParagraph"/>
        <w:numPr>
          <w:ilvl w:val="0"/>
          <w:numId w:val="2"/>
        </w:numPr>
        <w:spacing w:before="40" w:after="40"/>
      </w:pPr>
      <w:r>
        <w:rPr>
          <w:rFonts w:ascii="Georgia" w:cs="Georgia" w:eastAsia="Georgia" w:hAnsi="Georgia"/>
          <w:color w:val="4A5568"/>
          <w:sz w:val="20"/>
          <w:szCs w:val="20"/>
        </w:rPr>
        <w:t xml:space="preserve">No tier gives gameplay power. No faster ships, no combat advantages, no economic leverage that money-cannot-also-be-earned-in-game.</w:t>
      </w:r>
    </w:p>
    <w:p>
      <w:pPr>
        <w:pStyle w:val="ListParagraph"/>
        <w:numPr>
          <w:ilvl w:val="0"/>
          <w:numId w:val="2"/>
        </w:numPr>
        <w:spacing w:before="40" w:after="40"/>
      </w:pPr>
      <w:r>
        <w:rPr>
          <w:rFonts w:ascii="Georgia" w:cs="Georgia" w:eastAsia="Georgia" w:hAnsi="Georgia"/>
          <w:color w:val="4A5568"/>
          <w:sz w:val="20"/>
          <w:szCs w:val="20"/>
        </w:rPr>
        <w:t xml:space="preserve">Every tier is complete. Base tier players are not handicapped — they are focused.</w:t>
      </w:r>
    </w:p>
    <w:p>
      <w:pPr>
        <w:pStyle w:val="ListParagraph"/>
        <w:numPr>
          <w:ilvl w:val="0"/>
          <w:numId w:val="2"/>
        </w:numPr>
        <w:spacing w:before="40" w:after="40"/>
      </w:pPr>
      <w:r>
        <w:rPr>
          <w:rFonts w:ascii="Georgia" w:cs="Georgia" w:eastAsia="Georgia" w:hAnsi="Georgia"/>
          <w:color w:val="4A5568"/>
          <w:sz w:val="20"/>
          <w:szCs w:val="20"/>
        </w:rPr>
        <w:t xml:space="preserve">Features stack upward. Each tier includes everything below it, plus additions. No feature is removed when upgrading.</w:t>
      </w:r>
    </w:p>
    <w:p>
      <w:pPr>
        <w:pStyle w:val="ListParagraph"/>
        <w:numPr>
          <w:ilvl w:val="0"/>
          <w:numId w:val="2"/>
        </w:numPr>
        <w:spacing w:before="40" w:after="40"/>
      </w:pPr>
      <w:r>
        <w:rPr>
          <w:rFonts w:ascii="Georgia" w:cs="Georgia" w:eastAsia="Georgia" w:hAnsi="Georgia"/>
          <w:color w:val="4A5568"/>
          <w:sz w:val="20"/>
          <w:szCs w:val="20"/>
        </w:rPr>
        <w:t xml:space="preserve">Sticky features over consumable ones. The best tier features are ones players accumulate over time and would lose on downgrade — history depth, annotation rights, chronicle records.</w:t>
      </w:r>
    </w:p>
    <w:p>
      <w:pPr>
        <w:pStyle w:val="ListParagraph"/>
        <w:numPr>
          <w:ilvl w:val="0"/>
          <w:numId w:val="2"/>
        </w:numPr>
        <w:spacing w:before="40" w:after="40"/>
      </w:pPr>
      <w:r>
        <w:rPr>
          <w:rFonts w:ascii="Georgia" w:cs="Georgia" w:eastAsia="Georgia" w:hAnsi="Georgia"/>
          <w:color w:val="4A5568"/>
          <w:sz w:val="20"/>
          <w:szCs w:val="20"/>
        </w:rPr>
        <w:t xml:space="preserve">The $25 tier is the design target. Build everything else around making $25 feel like the obvious choice for a player who takes The Concord seriously.</w:t>
      </w:r>
    </w:p>
    <w:p>
      <w:pPr>
        <w:spacing w:before="80" w:after="80"/>
      </w:pPr>
      <w:r>
        <w:t xml:space="preserve"/>
      </w:r>
    </w:p>
    <w:p>
      <w:pPr>
        <w:pStyle w:val="Heading2"/>
        <w:spacing w:before="320" w:after="100"/>
      </w:pPr>
      <w:r>
        <w:rPr>
          <w:rFonts w:ascii="Arial" w:cs="Arial" w:eastAsia="Arial" w:hAnsi="Arial"/>
          <w:b/>
          <w:bCs/>
          <w:color w:val="2E4057"/>
          <w:sz w:val="26"/>
          <w:szCs w:val="26"/>
        </w:rPr>
        <w:t xml:space="preserve">2.2  ACCORD — $15.00/month — 1 Lineage</w:t>
      </w:r>
    </w:p>
    <w:p>
      <w:pPr>
        <w:shd w:fill="2E4057" w:val="clear"/>
        <w:spacing w:before="200" w:after="0"/>
      </w:pPr>
      <w:r>
        <w:rPr>
          <w:rFonts w:ascii="Arial" w:cs="Arial" w:eastAsia="Arial" w:hAnsi="Arial"/>
          <w:b/>
          <w:bCs/>
          <w:color w:val="FFFFFF"/>
          <w:sz w:val="22"/>
          <w:szCs w:val="22"/>
        </w:rPr>
        <w:t xml:space="preserve">  ACCORD  ·  $15.00/month  ·  1 Active Dynasty</w:t>
      </w:r>
    </w:p>
    <w:p>
      <w:pPr>
        <w:pBdr>
          <w:bottom w:val="single" w:color="B8963E" w:sz="4"/>
        </w:pBdr>
        <w:spacing w:before="0" w:after="100"/>
      </w:pPr>
      <w:r>
        <w:t xml:space="preserve"/>
      </w:r>
    </w:p>
    <w:p>
      <w:pPr>
        <w:spacing w:before="60" w:after="80"/>
      </w:pPr>
      <w:r>
        <w:rPr>
          <w:rFonts w:ascii="Georgia" w:cs="Georgia" w:eastAsia="Georgia" w:hAnsi="Georgia"/>
          <w:color w:val="4A5568"/>
          <w:sz w:val="20"/>
          <w:szCs w:val="20"/>
        </w:rPr>
        <w:t xml:space="preserve">The complete experience. One dynasty, one story, full access to The Concord's universe. This is not a trial — it is the purist tier. Players who choose Accord and commit to a single lineage build the deepest Remembrance records in the game. No multi-dynasty player can match the narrative coherence of a player who has focused one dynasty for five years.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656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Active dynasties</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1  —  one dynasty, one story, complete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chronicle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5 generations of verified dynastic history stored at full depth and display</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queue processing</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Standard — 72-hour review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KALON stipend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25 KLN  —  symbolic, not economy-altering</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Concord Ledger access</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Full public Ledger data — macro economy view, world prosperity indices, Ascendancy threat tiers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Architect quarterly 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Public release timing — same as all non-subscribers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annotation</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Own dynasty records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Customer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Standard queue — 48-hour response target</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Dynasty sigil</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Standard dynastic sigil in Remembrance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In-game virtual gaming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Access to all KALON-stakes House Games — no real-money component. See Section III.</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2.3  ACCORD PATRON — $25.00/month — 2 Lineages</w:t>
      </w:r>
    </w:p>
    <w:p>
      <w:pPr>
        <w:shd w:fill="3A6186" w:val="clear"/>
        <w:spacing w:before="200" w:after="0"/>
      </w:pPr>
      <w:r>
        <w:rPr>
          <w:rFonts w:ascii="Arial" w:cs="Arial" w:eastAsia="Arial" w:hAnsi="Arial"/>
          <w:b/>
          <w:bCs/>
          <w:color w:val="FFFFFF"/>
          <w:sz w:val="22"/>
          <w:szCs w:val="22"/>
        </w:rPr>
        <w:t xml:space="preserve">  ACCORD PATRON  ·  $25.00/month  ·  2 Active Dynasties</w:t>
      </w:r>
    </w:p>
    <w:p>
      <w:pPr>
        <w:pBdr>
          <w:bottom w:val="single" w:color="B8963E" w:sz="4"/>
        </w:pBdr>
        <w:spacing w:before="0" w:after="100"/>
      </w:pPr>
      <w:r>
        <w:t xml:space="preserve"/>
      </w:r>
    </w:p>
    <w:p>
      <w:pPr>
        <w:spacing w:before="60" w:after="80"/>
      </w:pPr>
      <w:r>
        <w:rPr>
          <w:rFonts w:ascii="Georgia" w:cs="Georgia" w:eastAsia="Georgia" w:hAnsi="Georgia"/>
          <w:color w:val="4A5568"/>
          <w:sz w:val="20"/>
          <w:szCs w:val="20"/>
        </w:rPr>
        <w:t xml:space="preserve">The practical player. Two dynasties allows genuine strategic pairing — a primary political dynasty and a specialist house. A survey dynasty and a trading dynasty. A military house and a diplomatic one. The $10 jump from base is earned through breadth plus genuine quality-of-life improvements that become part of how serious players operate.</w:t>
      </w:r>
    </w:p>
    <w:p>
      <w:pPr>
        <w:spacing w:before="60" w:after="80"/>
      </w:pPr>
      <w:r>
        <w:rPr>
          <w:rFonts w:ascii="Georgia" w:cs="Georgia" w:eastAsia="Georgia" w:hAnsi="Georgia"/>
          <w:color w:val="4A5568"/>
          <w:sz w:val="20"/>
          <w:szCs w:val="20"/>
        </w:rPr>
        <w:t xml:space="preserve">The Patron tier is the designed revenue engine. Features at this tier are chosen specifically to be things that players integrate into their daily play until stopping would feel like a loss.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656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 — includes all Accord features plus: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Active dynasties</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2  —  one primary dynasty plus one specialist house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chronicle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10 generations  —  twice the Accord depth. After 2 years of play, this becomes significant history to lose.</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queue processing</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Priority — 48-hour review target  (vs. standard 72h)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KALON stipend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60 KLN  —  meaningful in early play, always appreciated</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Architect reports</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24-hour early access before public release — enough to feel special, not enough to create unfair economic advantage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annotation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Own records plus annotation rights on any public dynasty or world record — Patrons become the game's historical curators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Patron sigil</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Patron sigil visible on all dynasty Remembrance records — a legible mark of sustained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Assembly observer gallery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Dynasty name listed in the Concord Assembly observer gallery — permanent historical record of sustaining members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Customer support</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Priority — 24-hour response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In-game virtual gaming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Access to all House Games plus Patron-only tables with higher KALON stakes ceilings. No real-money component.</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Dynasty chronicle export</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PDF export of dynasty chronicle — formatted Remembrance document suitable for archiving outside the game</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2.4  ACCORD HERALD — $35.00/month — 3 Lineages</w:t>
      </w:r>
    </w:p>
    <w:p>
      <w:pPr>
        <w:shd w:fill="0D1B2A" w:val="clear"/>
        <w:spacing w:before="200" w:after="0"/>
      </w:pPr>
      <w:r>
        <w:rPr>
          <w:rFonts w:ascii="Arial" w:cs="Arial" w:eastAsia="Arial" w:hAnsi="Arial"/>
          <w:b/>
          <w:bCs/>
          <w:color w:val="FFFFFF"/>
          <w:sz w:val="22"/>
          <w:szCs w:val="22"/>
        </w:rPr>
        <w:t xml:space="preserve">  ACCORD HERALD  ·  $35.00/month  ·  3 Active Dynasties</w:t>
      </w:r>
    </w:p>
    <w:p>
      <w:pPr>
        <w:pBdr>
          <w:bottom w:val="single" w:color="B8963E" w:sz="4"/>
        </w:pBdr>
        <w:spacing w:before="0" w:after="100"/>
      </w:pPr>
      <w:r>
        <w:t xml:space="preserve"/>
      </w:r>
    </w:p>
    <w:p>
      <w:pPr>
        <w:spacing w:before="60" w:after="80"/>
      </w:pPr>
      <w:r>
        <w:rPr>
          <w:rFonts w:ascii="Georgia" w:cs="Georgia" w:eastAsia="Georgia" w:hAnsi="Georgia"/>
          <w:color w:val="4A5568"/>
          <w:sz w:val="20"/>
          <w:szCs w:val="20"/>
        </w:rPr>
        <w:t xml:space="preserve">The committed player. Three dynasties creates genuine strategic complexity — you can position one dynasty on each side of a political dispute and observe, or span three different world types, or operate a full trade network across multiple systems. Herald tier earns its additional $10 over Patron through depth of access, not breadth of power.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6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 — includes all Patron features plus: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Active dynasties</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3  —  hard ceiling, permanent. No tier above this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chronicle depth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20 generations  —  the deepest historical record available. After 5 years, this is a genuine civilisational archive.</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queue processing</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Priority — 24-hour review target  (vs. standard 72h)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KALON stipend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120 KLN  —  the most meaningful stipend tier</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Architect reports</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48-hour early access — the maximum available to any player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Herald sigil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Herald sigil — visually distinct from Patron sigil, displayed on all records across all three dynasties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Named in Assembly Ledger</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Dynasty permanently inscribed in the Concord Assembly Founding Ledger — distinct from observer gallery. This record persists even if subscription lapses.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annotation — verified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Verified Herald annotations carry a visual distinction on public records — the game's most trusted historical commentators</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Customer support</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Priority — 8-hour response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In-game virtual gaming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Access to all House Games including Herald-exclusive high-stakes rooms. See Section III.</w:t>
            </w:r>
          </w:p>
        </w:tc>
      </w:tr>
      <w:tr>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Chronicle legacy protection</w:t>
            </w:r>
          </w:p>
        </w:tc>
        <w:tc>
          <w:tcPr>
            <w:tcW w:type="dxa" w:w="6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If a Herald dynasty dissolves under Digital Mortality Protocol, a 90-day grace archive is preserved in full depth before compression — giving the player one season to restore or memorialise.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Beta access — major updates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Two weeks early access to major Phase updates before public launch</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2.5  The Tier Comparison at a Glance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2053"/>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ACCORD  $15</w:t>
            </w:r>
          </w:p>
        </w:tc>
        <w:tc>
          <w:tcPr>
            <w:tcW w:type="dxa" w:w="2053"/>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PATRON  $25</w:t>
            </w:r>
          </w:p>
        </w:tc>
        <w:tc>
          <w:tcPr>
            <w:tcW w:type="dxa" w:w="2054"/>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HERALD  $35</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Active dynasties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1</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3A6186"/>
                <w:sz w:val="18"/>
                <w:szCs w:val="18"/>
              </w:rPr>
              <w:t xml:space="preserve">2</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Chronicle depth (generations)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5</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10</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20</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KALON stipend</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25 KLN</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60 KLN</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120 KLN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queue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72h</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48h</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24h</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Architect report early access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None</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24h early</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48h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annotation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Own records</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All public records</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Verified badge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Dynasty sigil</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Standard</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Patron sigil</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Herald sigil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Assembly recognition</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Observer gallery</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Founding Ledger</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Chronicle export</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Monthly PDF</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Monthly PDF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Mortality grace archive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90-day archive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Phase update beta access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 weeks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Support response target</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48h</w:t>
            </w:r>
          </w:p>
        </w:tc>
        <w:tc>
          <w:tcPr>
            <w:tcW w:type="dxa" w:w="20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24h</w:t>
            </w:r>
          </w:p>
        </w:tc>
        <w:tc>
          <w:tcPr>
            <w:tcW w:type="dxa" w:w="20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8h</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House Games access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Standard tables</w:t>
            </w:r>
          </w:p>
        </w:tc>
        <w:tc>
          <w:tcPr>
            <w:tcW w:type="dxa" w:w="2053"/>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 Patron tables</w:t>
            </w:r>
          </w:p>
        </w:tc>
        <w:tc>
          <w:tcPr>
            <w:tcW w:type="dxa" w:w="2054"/>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 Herald rooms</w:t>
            </w:r>
          </w:p>
        </w:tc>
      </w:tr>
    </w:tbl>
    <w:p>
      <w:pPr>
        <w:spacing w:before="160" w:after="160"/>
      </w:pPr>
      <w:r>
        <w:t xml:space="preserve"/>
      </w:r>
    </w:p>
    <w:p>
      <w:pPr>
        <w:spacing w:before="60" w:after="80"/>
      </w:pPr>
      <w:r>
        <w:rPr>
          <w:rFonts w:ascii="Georgia" w:cs="Georgia" w:eastAsia="Georgia" w:hAnsi="Georgia"/>
          <w:b/>
          <w:bCs/>
          <w:color w:val="3A6186"/>
          <w:sz w:val="20"/>
          <w:szCs w:val="20"/>
        </w:rPr>
        <w:t xml:space="preserve">Revenue projection note: </w:t>
      </w:r>
      <w:r>
        <w:rPr>
          <w:rFonts w:ascii="Georgia" w:cs="Georgia" w:eastAsia="Georgia" w:hAnsi="Georgia"/>
          <w:color w:val="4A5568"/>
          <w:sz w:val="20"/>
          <w:szCs w:val="20"/>
        </w:rPr>
        <w:t xml:space="preserve">If the Compromise Effect holds and approximately 55–60% of subscribers choose the middle tier, and approximately 25% choose Herald: at 100,000 subscribers, monthly revenue is $15×15K + $25×58K + $35×27K = $225K + $1.45M + $945K = $2.62M/month. The $25 Patron tier generates 55% of total subscription revenue at roughly 58% of subscribers. This is exactly the designed outcome.</w:t>
      </w:r>
    </w:p>
    <w:p>
      <w:pPr>
        <w:pStyle w:val="Heading1"/>
        <w:pageBreakBefore/>
        <w:pBdr>
          <w:bottom w:val="single" w:color="B8963E" w:sz="8"/>
        </w:pBdr>
        <w:spacing w:before="0" w:after="200"/>
      </w:pPr>
      <w:r>
        <w:rPr>
          <w:rFonts w:ascii="Arial" w:cs="Arial" w:eastAsia="Arial" w:hAnsi="Arial"/>
          <w:b/>
          <w:bCs/>
          <w:color w:val="0D1B2A"/>
          <w:sz w:val="36"/>
          <w:szCs w:val="36"/>
        </w:rPr>
        <w:t xml:space="preserve">III.  IN-GAME VIRTUAL GAMING — THE LEGAL AND DESIGN REALITY</w:t>
      </w:r>
    </w:p>
    <w:p>
      <w:pPr>
        <w:pBdr>
          <w:left w:val="thick" w:color="B8963E" w:sz="20"/>
        </w:pBdr>
        <w:spacing w:before="160" w:after="160"/>
        <w:ind w:left="560" w:right="280"/>
      </w:pPr>
      <w:r>
        <w:rPr>
          <w:rFonts w:ascii="Georgia" w:cs="Georgia" w:eastAsia="Georgia" w:hAnsi="Georgia"/>
          <w:i/>
          <w:iCs/>
          <w:color w:val="222222"/>
          <w:sz w:val="21"/>
          <w:szCs w:val="21"/>
        </w:rPr>
        <w:t xml:space="preserve">The question is not whether to include in-game gaming. Games of skill and chance are deeply embedded in human culture across every civilisation The Concord depicts. The question is how to structure it so it is legal in every jurisdiction we operate in, cannot be weaponised as real-money gambling, and adds genuine entertainment value without becoming a predatory mechanic.</w:t>
      </w:r>
    </w:p>
    <w:p>
      <w:pPr>
        <w:pStyle w:val="Heading2"/>
        <w:spacing w:before="320" w:after="100"/>
      </w:pPr>
      <w:r>
        <w:rPr>
          <w:rFonts w:ascii="Arial" w:cs="Arial" w:eastAsia="Arial" w:hAnsi="Arial"/>
          <w:b/>
          <w:bCs/>
          <w:color w:val="2E4057"/>
          <w:sz w:val="26"/>
          <w:szCs w:val="26"/>
        </w:rPr>
        <w:t xml:space="preserve">3.1  What the Legal Landscape Actually Says</w:t>
      </w:r>
    </w:p>
    <w:p>
      <w:pPr>
        <w:spacing w:before="60" w:after="80"/>
      </w:pPr>
      <w:r>
        <w:rPr>
          <w:rFonts w:ascii="Georgia" w:cs="Georgia" w:eastAsia="Georgia" w:hAnsi="Georgia"/>
          <w:color w:val="4A5568"/>
          <w:sz w:val="20"/>
          <w:szCs w:val="20"/>
        </w:rPr>
        <w:t xml:space="preserve">The global regulatory picture on in-game gambling is fragmented and evolving rapidly. Understanding it precisely is essential — the wrong structure can make The Concord illegal in Belgium, the Netherlands, or an EU-harmonised future framework. The right structure is legal everywhere and defensible under any reasonable regulatory reading.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JURISDICTION</w:t>
            </w:r>
          </w:p>
        </w:tc>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5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RULE</w:t>
            </w:r>
          </w:p>
        </w:tc>
      </w:tr>
      <w:tr>
        <w:tc>
          <w:tcPr>
            <w:tcW w:type="dxa" w:w="180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Belgium</w:t>
            </w:r>
          </w:p>
        </w:tc>
        <w:tc>
          <w:tcPr>
            <w:tcW w:type="dxa" w:w="240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bCs/>
                <w:color w:val="7A1A1A"/>
                <w:sz w:val="18"/>
                <w:szCs w:val="18"/>
              </w:rPr>
              <w:t xml:space="preserve">BANNED</w:t>
            </w:r>
          </w:p>
        </w:tc>
        <w:tc>
          <w:tcPr>
            <w:tcW w:type="dxa" w:w="516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All loot boxes illegal under gambling law. Applies to adults and children. Penalty up to 5 years prison and €800K fine. Most restrictive jurisdiction globally.</w:t>
            </w:r>
          </w:p>
        </w:tc>
      </w:tr>
      <w:tr>
        <w:tc>
          <w:tcPr>
            <w:tcW w:type="dxa" w:w="180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Netherlands</w:t>
            </w:r>
          </w:p>
        </w:tc>
        <w:tc>
          <w:tcPr>
            <w:tcW w:type="dxa" w:w="240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bCs/>
                <w:color w:val="7A1A1A"/>
                <w:sz w:val="18"/>
                <w:szCs w:val="18"/>
              </w:rPr>
              <w:t xml:space="preserve">RESTRICTED</w:t>
            </w:r>
          </w:p>
        </w:tc>
        <w:tc>
          <w:tcPr>
            <w:tcW w:type="dxa" w:w="516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Loot boxes with real-world-value prizes treated as gambling. Prizes confined to in-game use without cash-out value are generally permitted with disclosure.</w:t>
            </w:r>
          </w:p>
        </w:tc>
      </w:tr>
      <w:tr>
        <w:tc>
          <w:tcPr>
            <w:tcW w:type="dxa" w:w="1800"/>
            <w:tcBorders>
              <w:top w:val="single" w:color="CCCCCC" w:sz="1"/>
              <w:left w:val="single" w:color="CCCCCC" w:sz="1"/>
              <w:bottom w:val="single" w:color="CCCCCC" w:sz="1"/>
              <w:right w:val="single" w:color="CCCCCC" w:sz="1"/>
            </w:tcBorders>
            <w:shd w:fill="FFD9B0"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EU (harmonising)</w:t>
            </w:r>
          </w:p>
        </w:tc>
        <w:tc>
          <w:tcPr>
            <w:tcW w:type="dxa" w:w="2400"/>
            <w:tcBorders>
              <w:top w:val="single" w:color="CCCCCC" w:sz="1"/>
              <w:left w:val="single" w:color="CCCCCC" w:sz="1"/>
              <w:bottom w:val="single" w:color="CCCCCC" w:sz="1"/>
              <w:right w:val="single" w:color="CCCCCC" w:sz="1"/>
            </w:tcBorders>
            <w:shd w:fill="FFD9B0" w:val="clear"/>
            <w:tcMar>
              <w:top w:type="dxa" w:w="80"/>
              <w:left w:type="dxa" w:w="120"/>
              <w:bottom w:type="dxa" w:w="80"/>
              <w:right w:type="dxa" w:w="120"/>
            </w:tcMar>
          </w:tcPr>
          <w:p>
            <w:pPr>
              <w:jc w:val="left"/>
            </w:pPr>
            <w:r>
              <w:rPr>
                <w:rFonts w:ascii="Arial" w:cs="Arial" w:eastAsia="Arial" w:hAnsi="Arial"/>
                <w:b/>
                <w:bCs/>
                <w:color w:val="6A3A00"/>
                <w:sz w:val="18"/>
                <w:szCs w:val="18"/>
              </w:rPr>
              <w:t xml:space="preserve">WATCH</w:t>
            </w:r>
          </w:p>
        </w:tc>
        <w:tc>
          <w:tcPr>
            <w:tcW w:type="dxa" w:w="5160"/>
            <w:tcBorders>
              <w:top w:val="single" w:color="CCCCCC" w:sz="1"/>
              <w:left w:val="single" w:color="CCCCCC" w:sz="1"/>
              <w:bottom w:val="single" w:color="CCCCCC" w:sz="1"/>
              <w:right w:val="single" w:color="CCCCCC" w:sz="1"/>
            </w:tcBorders>
            <w:shd w:fill="FFD9B0"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October 2025: EU Parliament Committee adopted report urging European Commission to harmonise and ban loot boxes in games accessible to minors. EU-wide regulation incoming — timeline unclear but directional.</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UK</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PERMITTED</w:t>
            </w:r>
          </w:p>
        </w:tc>
        <w:tc>
          <w:tcPr>
            <w:tcW w:type="dxa" w:w="5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Loot boxes not gambling under Gambling Act 2005 if prizes cannot be cashed out for real currency. Consumer protection rules apply. Industry self-regulation in place.</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USA (federal)</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PERMITTED</w:t>
            </w:r>
          </w:p>
        </w:tc>
        <w:tc>
          <w:tcPr>
            <w:tcW w:type="dxa" w:w="5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No federal law. Most courts have ruled in-game items without cash-out value do not constitute illegal gambling. Exception: Washington State social casino cases.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Australia</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6A3A00"/>
                <w:sz w:val="18"/>
                <w:szCs w:val="18"/>
              </w:rPr>
              <w:t xml:space="preserve">WATCH</w:t>
            </w:r>
          </w:p>
        </w:tc>
        <w:tc>
          <w:tcPr>
            <w:tcW w:type="dxa" w:w="5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No current ban. From September 2025, games with paid loot boxes receive minimum M rating. Classification trajectory heading toward stricter oversight.</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South Korea</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DISCLOSE</w:t>
            </w:r>
          </w:p>
        </w:tc>
        <w:tc>
          <w:tcPr>
            <w:tcW w:type="dxa" w:w="5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From March 2024, all probability disclosures for randomised items mandatory. Individual item probability must be published — category disclosure insufficient.</w:t>
            </w:r>
          </w:p>
        </w:tc>
      </w:tr>
      <w:tr>
        <w:tc>
          <w:tcPr>
            <w:tcW w:type="dxa" w:w="180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China</w:t>
            </w:r>
          </w:p>
        </w:tc>
        <w:tc>
          <w:tcPr>
            <w:tcW w:type="dxa" w:w="240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bCs/>
                <w:color w:val="7A1A1A"/>
                <w:sz w:val="18"/>
                <w:szCs w:val="18"/>
              </w:rPr>
              <w:t xml:space="preserve">RESTRICTED</w:t>
            </w:r>
          </w:p>
        </w:tc>
        <w:tc>
          <w:tcPr>
            <w:tcW w:type="dxa" w:w="5160"/>
            <w:tcBorders>
              <w:top w:val="single" w:color="B05050" w:sz="1"/>
              <w:left w:val="single" w:color="B05050" w:sz="1"/>
              <w:bottom w:val="single" w:color="B05050" w:sz="1"/>
              <w:right w:val="single" w:color="B05050" w:sz="1"/>
            </w:tcBorders>
            <w:shd w:fill="F4E8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Games depicting gambling content banned. Any mechanic resembling gambling subject to regulatory review. Probability disclosure mandatory.</w:t>
            </w:r>
          </w:p>
        </w:tc>
      </w:tr>
    </w:tbl>
    <w:p>
      <w:pPr>
        <w:spacing w:before="80" w:after="80"/>
      </w:pPr>
      <w:r>
        <w:t xml:space="preserve"/>
      </w:r>
    </w:p>
    <w:p>
      <w:pPr>
        <w:spacing w:before="60" w:after="80"/>
      </w:pPr>
      <w:r>
        <w:rPr>
          <w:rFonts w:ascii="Georgia" w:cs="Georgia" w:eastAsia="Georgia" w:hAnsi="Georgia"/>
          <w:b/>
          <w:bCs/>
          <w:color w:val="1A4A2A"/>
          <w:sz w:val="20"/>
          <w:szCs w:val="20"/>
        </w:rPr>
        <w:t xml:space="preserve">The one principle that protects The Concord in every jurisdiction: </w:t>
      </w:r>
      <w:r>
        <w:rPr>
          <w:rFonts w:ascii="Georgia" w:cs="Georgia" w:eastAsia="Georgia" w:hAnsi="Georgia"/>
          <w:color w:val="4A5568"/>
          <w:sz w:val="20"/>
          <w:szCs w:val="20"/>
        </w:rPr>
        <w:t xml:space="preserve">Virtual gaming items must have zero real-world cash value. Cannot be sold, traded for real currency, or converted into any asset with monetary value outside the game. KALON is an in-game currency governed by The Concord's economy. KALON won in a House Game is KALON — not money. This is the legal bright line.</w:t>
      </w:r>
    </w:p>
    <w:p>
      <w:pPr>
        <w:pStyle w:val="Heading2"/>
        <w:spacing w:before="320" w:after="100"/>
      </w:pPr>
      <w:r>
        <w:rPr>
          <w:rFonts w:ascii="Arial" w:cs="Arial" w:eastAsia="Arial" w:hAnsi="Arial"/>
          <w:b/>
          <w:bCs/>
          <w:color w:val="2E4057"/>
          <w:sz w:val="26"/>
          <w:szCs w:val="26"/>
        </w:rPr>
        <w:t xml:space="preserve">3.2  The Three Legal Tests — Applied to The Concord</w:t>
      </w:r>
    </w:p>
    <w:p>
      <w:pPr>
        <w:spacing w:before="60" w:after="80"/>
      </w:pPr>
      <w:r>
        <w:rPr>
          <w:rFonts w:ascii="Georgia" w:cs="Georgia" w:eastAsia="Georgia" w:hAnsi="Georgia"/>
          <w:color w:val="4A5568"/>
          <w:sz w:val="20"/>
          <w:szCs w:val="20"/>
        </w:rPr>
        <w:t xml:space="preserve">Gambling law in virtually every jurisdiction requires all three elements to be present: consideration (something of value wagered), chance (random outcome), and a prize (something of value won). The Concord's House Games structure is designed to pass legal review in every jurisdiction: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ELEMENT</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THE CONCORD POSITION</w:t>
            </w:r>
          </w:p>
        </w:tc>
        <w:tc>
          <w:tcPr>
            <w:tcW w:type="dxa" w:w="57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REASONING</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Consideration</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KALON only</w:t>
            </w:r>
          </w:p>
        </w:tc>
        <w:tc>
          <w:tcPr>
            <w:tcW w:type="dxa" w:w="5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KALON is earned through gameplay and included in subscription stipends. It is not purchased with real money for the purpose of gambling. Players stake KALON they already own — not real-money equivalents.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Present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House Games involve random outcomes. This element is present. It is the reason we are careful about the other two elements — if all three are present, the structure is gambling regardless of framing.</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Prize</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In-game only</w:t>
            </w:r>
          </w:p>
        </w:tc>
        <w:tc>
          <w:tcPr>
            <w:tcW w:type="dxa" w:w="5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Winnings are KALON — in-game currency with no cash-out mechanism, no secondary market supported by The Concord, no real-world monetary value. This is the decisive element that keeps House Games legal in every major jurisdiction.</w:t>
            </w:r>
          </w:p>
        </w:tc>
      </w:tr>
    </w:tbl>
    <w:p>
      <w:pPr>
        <w:spacing w:before="120" w:after="120"/>
      </w:pPr>
      <w:r>
        <w:t xml:space="preserve"/>
      </w:r>
    </w:p>
    <w:p>
      <w:pPr>
        <w:spacing w:before="60" w:after="80"/>
      </w:pPr>
      <w:r>
        <w:rPr>
          <w:rFonts w:ascii="Georgia" w:cs="Georgia" w:eastAsia="Georgia" w:hAnsi="Georgia"/>
          <w:b/>
          <w:bCs/>
          <w:color w:val="7A1A1A"/>
          <w:sz w:val="20"/>
          <w:szCs w:val="20"/>
        </w:rPr>
        <w:t xml:space="preserve">The Washington State exception: </w:t>
      </w:r>
      <w:r>
        <w:rPr>
          <w:rFonts w:ascii="Georgia" w:cs="Georgia" w:eastAsia="Georgia" w:hAnsi="Georgia"/>
          <w:color w:val="4A5568"/>
          <w:sz w:val="20"/>
          <w:szCs w:val="20"/>
        </w:rPr>
        <w:t xml:space="preserve">US courts in Washington State found that even virtual currency in social casino games could qualify as gambling if there is a mechanism for transferring currency between users that allows informal cash-out. The Concord's KALON transfer system must include anti-exploitation architecture — KALON transfers capped per 24-hour period, flagged if pattern matches informal cash-out behaviour, terms of service explicitly prohibiting real-money KALON trading.</w:t>
      </w:r>
    </w:p>
    <w:p>
      <w:pPr>
        <w:pStyle w:val="Heading2"/>
        <w:spacing w:before="320" w:after="100"/>
      </w:pPr>
      <w:r>
        <w:rPr>
          <w:rFonts w:ascii="Arial" w:cs="Arial" w:eastAsia="Arial" w:hAnsi="Arial"/>
          <w:b/>
          <w:bCs/>
          <w:color w:val="2E4057"/>
          <w:sz w:val="26"/>
          <w:szCs w:val="26"/>
        </w:rPr>
        <w:t xml:space="preserve">3.3  House Games — The Design Framework</w:t>
      </w:r>
    </w:p>
    <w:p>
      <w:pPr>
        <w:spacing w:before="60" w:after="80"/>
      </w:pPr>
      <w:r>
        <w:rPr>
          <w:rFonts w:ascii="Georgia" w:cs="Georgia" w:eastAsia="Georgia" w:hAnsi="Georgia"/>
          <w:color w:val="4A5568"/>
          <w:sz w:val="20"/>
          <w:szCs w:val="20"/>
        </w:rPr>
        <w:t xml:space="preserve">In-universe, House Games are a natural feature of any civilisation spanning centuries and hundreds of worlds. Every culture gambles, strategises, and plays. The Remembrance records which dynasties were famous gamblers. The Assembly debates whether House Games are a dignified pastime or a distraction from civilisational duty. The Architect has an opinion. This is all lore.</w:t>
      </w:r>
    </w:p>
    <w:p>
      <w:pPr>
        <w:spacing w:before="60" w:after="80"/>
      </w:pPr>
      <w:r>
        <w:rPr>
          <w:rFonts w:ascii="Georgia" w:cs="Georgia" w:eastAsia="Georgia" w:hAnsi="Georgia"/>
          <w:color w:val="4A5568"/>
          <w:sz w:val="20"/>
          <w:szCs w:val="20"/>
        </w:rPr>
        <w:t xml:space="preserve">In game design terms, House Games are a secondary economy activity — a way for players to redistribute KALON among themselves in a skill-and-chance environment that is entertaining, deeply in-world, and never pay-to-win.</w:t>
      </w:r>
    </w:p>
    <w:p>
      <w:pPr>
        <w:spacing w:before="80" w:after="80"/>
      </w:pPr>
      <w:r>
        <w:t xml:space="preserve"/>
      </w:r>
    </w:p>
    <w:p>
      <w:pPr>
        <w:shd w:fill="0D1B2A" w:val="clear"/>
        <w:spacing w:before="200" w:after="0"/>
      </w:pPr>
      <w:r>
        <w:rPr>
          <w:rFonts w:ascii="Arial" w:cs="Arial" w:eastAsia="Arial" w:hAnsi="Arial"/>
          <w:b/>
          <w:bCs/>
          <w:color w:val="FFFFFF"/>
          <w:sz w:val="22"/>
          <w:szCs w:val="22"/>
        </w:rPr>
        <w:t xml:space="preserve">  HOUSE GAMES DESIGN PRINCIPLES</w:t>
      </w:r>
    </w:p>
    <w:p>
      <w:pPr>
        <w:pBdr>
          <w:bottom w:val="single" w:color="B8963E" w:sz="4"/>
        </w:pBdr>
        <w:spacing w:before="0" w:after="100"/>
      </w:pPr>
      <w:r>
        <w:t xml:space="preserve"/>
      </w:r>
    </w:p>
    <w:p>
      <w:pPr>
        <w:spacing w:before="40" w:after="40"/>
      </w:pPr>
      <w:r>
        <w:t xml:space="preserve"/>
      </w:r>
    </w:p>
    <w:p>
      <w:pPr>
        <w:pStyle w:val="ListParagraph"/>
        <w:numPr>
          <w:ilvl w:val="0"/>
          <w:numId w:val="2"/>
        </w:numPr>
        <w:spacing w:before="40" w:after="40"/>
      </w:pPr>
      <w:r>
        <w:rPr>
          <w:rFonts w:ascii="Georgia" w:cs="Georgia" w:eastAsia="Georgia" w:hAnsi="Georgia"/>
          <w:b/>
          <w:bCs/>
          <w:color w:val="0D1B2A"/>
          <w:sz w:val="20"/>
          <w:szCs w:val="20"/>
        </w:rPr>
        <w:t xml:space="preserve">Skill components preferred over pure chance: </w:t>
      </w:r>
      <w:r>
        <w:rPr>
          <w:rFonts w:ascii="Georgia" w:cs="Georgia" w:eastAsia="Georgia" w:hAnsi="Georgia"/>
          <w:color w:val="4A5568"/>
          <w:sz w:val="20"/>
          <w:szCs w:val="20"/>
        </w:rPr>
        <w:t xml:space="preserve">Games with skill components (Concord Stones — a strategy game native to The Concord's culture; The Navigator's Wager — a route-prediction game based on Lattice data) are legally cleaner than pure slot mechanics and are more engaging for the player base. Pure-chance games (the equivalent of dice or card draws) are included but not the primary offering.</w:t>
      </w:r>
    </w:p>
    <w:p>
      <w:pPr>
        <w:pStyle w:val="ListParagraph"/>
        <w:numPr>
          <w:ilvl w:val="0"/>
          <w:numId w:val="2"/>
        </w:numPr>
        <w:spacing w:before="40" w:after="40"/>
      </w:pPr>
      <w:r>
        <w:rPr>
          <w:rFonts w:ascii="Georgia" w:cs="Georgia" w:eastAsia="Georgia" w:hAnsi="Georgia"/>
          <w:b/>
          <w:bCs/>
          <w:color w:val="0D1B2A"/>
          <w:sz w:val="20"/>
          <w:szCs w:val="20"/>
        </w:rPr>
        <w:t xml:space="preserve">All probabilities publicly disclosed: </w:t>
      </w:r>
      <w:r>
        <w:rPr>
          <w:rFonts w:ascii="Georgia" w:cs="Georgia" w:eastAsia="Georgia" w:hAnsi="Georgia"/>
          <w:color w:val="4A5568"/>
          <w:sz w:val="20"/>
          <w:szCs w:val="20"/>
        </w:rPr>
        <w:t xml:space="preserve">South Korea already requires this. Taiwan requires it. The EU is moving toward it. Publishing exact win probabilities on every House Game costs nothing and future-proofs against regulatory changes globally. The Architect's Ledger publishes House Game statistics quarterly.</w:t>
      </w:r>
    </w:p>
    <w:p>
      <w:pPr>
        <w:pStyle w:val="ListParagraph"/>
        <w:numPr>
          <w:ilvl w:val="0"/>
          <w:numId w:val="2"/>
        </w:numPr>
        <w:spacing w:before="40" w:after="40"/>
      </w:pPr>
      <w:r>
        <w:rPr>
          <w:rFonts w:ascii="Georgia" w:cs="Georgia" w:eastAsia="Georgia" w:hAnsi="Georgia"/>
          <w:b/>
          <w:bCs/>
          <w:color w:val="0D1B2A"/>
          <w:sz w:val="20"/>
          <w:szCs w:val="20"/>
        </w:rPr>
        <w:t xml:space="preserve">Stake limits per session: </w:t>
      </w:r>
      <w:r>
        <w:rPr>
          <w:rFonts w:ascii="Georgia" w:cs="Georgia" w:eastAsia="Georgia" w:hAnsi="Georgia"/>
          <w:color w:val="4A5568"/>
          <w:sz w:val="20"/>
          <w:szCs w:val="20"/>
        </w:rPr>
        <w:t xml:space="preserve">Daily KALON stake limits per dynasty prevent House Games from becoming a destructive habit mechanic. Limits adjust by tier — not because higher tiers deserve more gambling, but because they have larger stipends and larger KALON reserves. The limit is proportional, not additive to power.</w:t>
      </w:r>
    </w:p>
    <w:p>
      <w:pPr>
        <w:pStyle w:val="ListParagraph"/>
        <w:numPr>
          <w:ilvl w:val="0"/>
          <w:numId w:val="2"/>
        </w:numPr>
        <w:spacing w:before="40" w:after="40"/>
      </w:pPr>
      <w:r>
        <w:rPr>
          <w:rFonts w:ascii="Georgia" w:cs="Georgia" w:eastAsia="Georgia" w:hAnsi="Georgia"/>
          <w:b/>
          <w:bCs/>
          <w:color w:val="0D1B2A"/>
          <w:sz w:val="20"/>
          <w:szCs w:val="20"/>
        </w:rPr>
        <w:t xml:space="preserve">No loot box mechanics: </w:t>
      </w:r>
      <w:r>
        <w:rPr>
          <w:rFonts w:ascii="Georgia" w:cs="Georgia" w:eastAsia="Georgia" w:hAnsi="Georgia"/>
          <w:color w:val="4A5568"/>
          <w:sz w:val="20"/>
          <w:szCs w:val="20"/>
        </w:rPr>
        <w:t xml:space="preserve">House Games never offer 'spin to win' items, randomised cosmetics purchasable with real money, or any mechanic that resembles loot box structure. In-game cosmetics are either earned through gameplay milestones or available for direct KALON purchase at fixed prices with no random element.</w:t>
      </w:r>
    </w:p>
    <w:p>
      <w:pPr>
        <w:pStyle w:val="ListParagraph"/>
        <w:numPr>
          <w:ilvl w:val="0"/>
          <w:numId w:val="2"/>
        </w:numPr>
        <w:spacing w:before="40" w:after="40"/>
      </w:pPr>
      <w:r>
        <w:rPr>
          <w:rFonts w:ascii="Georgia" w:cs="Georgia" w:eastAsia="Georgia" w:hAnsi="Georgia"/>
          <w:b/>
          <w:bCs/>
          <w:color w:val="0D1B2A"/>
          <w:sz w:val="20"/>
          <w:szCs w:val="20"/>
        </w:rPr>
        <w:t xml:space="preserve">Age-gating architecture: </w:t>
      </w:r>
      <w:r>
        <w:rPr>
          <w:rFonts w:ascii="Georgia" w:cs="Georgia" w:eastAsia="Georgia" w:hAnsi="Georgia"/>
          <w:color w:val="4A5568"/>
          <w:sz w:val="20"/>
          <w:szCs w:val="20"/>
        </w:rPr>
        <w:t xml:space="preserve">House Games are gated behind account verification. Players under 18 — or players in jurisdictions requiring age restrictions — cannot access House Games. This is technically enforced, not honour-system. The Concord is rated for adults as a baseline given its economy and mortality system.</w:t>
      </w:r>
    </w:p>
    <w:p>
      <w:pPr>
        <w:spacing w:before="80" w:after="80"/>
      </w:pPr>
      <w:r>
        <w:t xml:space="preserve"/>
      </w:r>
    </w:p>
    <w:p>
      <w:pPr>
        <w:pStyle w:val="Heading3"/>
        <w:spacing w:before="200" w:after="80"/>
      </w:pPr>
      <w:r>
        <w:rPr>
          <w:rFonts w:ascii="Arial" w:cs="Arial" w:eastAsia="Arial" w:hAnsi="Arial"/>
          <w:b/>
          <w:bCs/>
          <w:color w:val="3A6186"/>
          <w:sz w:val="22"/>
          <w:szCs w:val="22"/>
        </w:rPr>
        <w:t xml:space="preserve">The House Game Catalogue — Launch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GAME</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57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Concord Stones</w:t>
            </w:r>
          </w:p>
        </w:tc>
        <w:tc>
          <w:tcPr>
            <w:tcW w:type="dxa" w:w="1600"/>
            <w:tcBorders>
              <w:top w:val="single" w:color="2A7A3A" w:sz="1"/>
              <w:left w:val="single" w:color="2A7A3A" w:sz="1"/>
              <w:bottom w:val="single" w:color="2A7A3A" w:sz="1"/>
              <w:right w:val="single" w:color="2A7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Strategy / Skill</w:t>
            </w:r>
          </w:p>
        </w:tc>
        <w:tc>
          <w:tcPr>
            <w:tcW w:type="dxa" w:w="5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 board game native to The Concord's culture. 2–4 players, 15–30 minutes. Strategic placement with territory dynamics. Skill dominant — experienced players win significantly more often. KALON side-stakes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Navigator's Wager</w:t>
            </w:r>
          </w:p>
        </w:tc>
        <w:tc>
          <w:tcPr>
            <w:tcW w:type="dxa" w:w="1600"/>
            <w:tcBorders>
              <w:top w:val="single" w:color="2A7A3A" w:sz="1"/>
              <w:left w:val="single" w:color="2A7A3A" w:sz="1"/>
              <w:bottom w:val="single" w:color="2A7A3A" w:sz="1"/>
              <w:right w:val="single" w:color="2A7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Skill / Prediction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Players wager on Lattice route outcomes using publicly available Concord Ledger data. More information produces better predictions. Hybrid of poker-style reading and real in-universe data.</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Assembly Vote</w:t>
            </w:r>
          </w:p>
        </w:tc>
        <w:tc>
          <w:tcPr>
            <w:tcW w:type="dxa" w:w="1600"/>
            <w:tcBorders>
              <w:top w:val="single" w:color="2A7A3A" w:sz="1"/>
              <w:left w:val="single" w:color="2A7A3A" w:sz="1"/>
              <w:bottom w:val="single" w:color="2A7A3A" w:sz="1"/>
              <w:right w:val="single" w:color="2A7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Social / Prediction</w:t>
            </w:r>
          </w:p>
        </w:tc>
        <w:tc>
          <w:tcPr>
            <w:tcW w:type="dxa" w:w="5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Wager on how real in-game Assembly votes will resolve — factions, world sovereignty decisions, diplomatic outcomes. Outcomes determined by actual game events, not random generation. Creates deep investment in political storylines.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Flux Draw</w:t>
            </w:r>
          </w:p>
        </w:tc>
        <w:tc>
          <w:tcPr>
            <w:tcW w:type="dxa" w:w="1600"/>
            <w:tcBorders>
              <w:top w:val="single" w:color="CCCCCC" w:sz="1"/>
              <w:left w:val="single" w:color="CCCCCC" w:sz="1"/>
              <w:bottom w:val="single" w:color="CCCCCC" w:sz="1"/>
              <w:right w:val="single" w:color="CCCCCC" w:sz="1"/>
            </w:tcBorders>
            <w:shd w:fill="FFD9B0" w:val="clear"/>
            <w:tcMar>
              <w:top w:type="dxa" w:w="80"/>
              <w:left w:type="dxa" w:w="120"/>
              <w:bottom w:type="dxa" w:w="80"/>
              <w:right w:type="dxa" w:w="120"/>
            </w:tcMar>
          </w:tcPr>
          <w:p>
            <w:pPr>
              <w:jc w:val="left"/>
            </w:pPr>
            <w:r>
              <w:rPr>
                <w:rFonts w:ascii="Arial" w:cs="Arial" w:eastAsia="Arial" w:hAnsi="Arial"/>
                <w:b/>
                <w:bCs/>
                <w:color w:val="6A3A00"/>
                <w:sz w:val="18"/>
                <w:szCs w:val="18"/>
              </w:rPr>
              <w:t xml:space="preserve">Chance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Pure-chance card draw mechanic. Fully disclosed probabilities. KALON-only stakes. The only pure-chance game in the catalogue — included because player expectation demands it, designed minimally.</w:t>
            </w:r>
          </w:p>
        </w:tc>
      </w:tr>
      <w:tr>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Silence Pool</w:t>
            </w:r>
          </w:p>
        </w:tc>
        <w:tc>
          <w:tcPr>
            <w:tcW w:type="dxa" w:w="1600"/>
            <w:tcBorders>
              <w:top w:val="single" w:color="2A7A3A" w:sz="1"/>
              <w:left w:val="single" w:color="2A7A3A" w:sz="1"/>
              <w:bottom w:val="single" w:color="2A7A3A" w:sz="1"/>
              <w:right w:val="single" w:color="2A7A3A" w:sz="1"/>
            </w:tcBorders>
            <w:shd w:fill="E8F4EC" w:val="clear"/>
            <w:tcMar>
              <w:top w:type="dxa" w:w="80"/>
              <w:left w:type="dxa" w:w="120"/>
              <w:bottom w:type="dxa" w:w="80"/>
              <w:right w:type="dxa" w:w="120"/>
            </w:tcMar>
          </w:tcPr>
          <w:p>
            <w:pPr>
              <w:jc w:val="left"/>
            </w:pPr>
            <w:r>
              <w:rPr>
                <w:rFonts w:ascii="Arial" w:cs="Arial" w:eastAsia="Arial" w:hAnsi="Arial"/>
                <w:b/>
                <w:bCs/>
                <w:color w:val="1A4A2A"/>
                <w:sz w:val="18"/>
                <w:szCs w:val="18"/>
              </w:rPr>
              <w:t xml:space="preserve">Prediction / Lore</w:t>
            </w:r>
          </w:p>
        </w:tc>
        <w:tc>
          <w:tcPr>
            <w:tcW w:type="dxa" w:w="57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Season-long prediction game: which of the 12 dark star systems yields its first signal, and in what order. Based on publicly available Ledger anomaly data. Deep lore engagement with genuine skill component for players who study the data.</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3.4  Tier Access Differentiation — House Games</w:t>
      </w:r>
    </w:p>
    <w:p>
      <w:pPr>
        <w:spacing w:before="60" w:after="80"/>
      </w:pPr>
      <w:r>
        <w:rPr>
          <w:rFonts w:ascii="Georgia" w:cs="Georgia" w:eastAsia="Georgia" w:hAnsi="Georgia"/>
          <w:color w:val="4A5568"/>
          <w:sz w:val="20"/>
          <w:szCs w:val="20"/>
        </w:rPr>
        <w:t xml:space="preserve">Tier access to House Games follows the same principle as all other tier features: no gameplay power, genuine quality-of-life and social depth.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7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HOUSE GAMES ACCESS</w:t>
            </w:r>
          </w:p>
        </w:tc>
      </w:tr>
      <w:tr>
        <w:tc>
          <w:tcPr>
            <w:tcW w:type="dxa" w:w="20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ACCORD  $15</w:t>
            </w:r>
          </w:p>
        </w:tc>
        <w:tc>
          <w:tcPr>
            <w:tcW w:type="dxa" w:w="736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All five House Games at standard KALON stake limits. Full skill games with no restriction. Flux Draw at standard maximum. The Assembly Vote and Silence Pool included at standard wager ceilings.</w:t>
            </w:r>
          </w:p>
        </w:tc>
      </w:tr>
      <w:tr>
        <w:tc>
          <w:tcPr>
            <w:tcW w:type="dxa" w:w="200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PATRON  $25</w:t>
            </w:r>
          </w:p>
        </w:tc>
        <w:tc>
          <w:tcPr>
            <w:tcW w:type="dxa" w:w="7360"/>
            <w:tcBorders>
              <w:top w:val="single" w:color="CCCCCC" w:sz="1"/>
              <w:left w:val="single" w:color="CCCCCC" w:sz="1"/>
              <w:bottom w:val="single" w:color="CCCCCC" w:sz="1"/>
              <w:right w:val="single" w:color="CCCCCC" w:sz="1"/>
            </w:tcBorders>
            <w:shd w:fill="3A6186"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All Accord access plus Patron-only tables: higher KALON stake ceilings at Concord Stones and Navigator's Wager (you have larger stipends — the ceiling is proportional). Patron lounge tables with reduced wait time for multi-player games.</w:t>
            </w:r>
          </w:p>
        </w:tc>
      </w:tr>
      <w:tr>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HERALD  $35</w:t>
            </w:r>
          </w:p>
        </w:tc>
        <w:tc>
          <w:tcPr>
            <w:tcW w:type="dxa" w:w="7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All Patron access plus Herald-exclusive private rooms: invitation-only Concord Stones tournaments with Herald-level participants. The highest KALON stake ceilings in the game. Access to the Herald's Cup — a seasonal Concord Stones tournament with Remembrance recognition for the winner.</w:t>
            </w:r>
          </w:p>
        </w:tc>
      </w:tr>
    </w:tbl>
    <w:p>
      <w:pPr>
        <w:spacing w:before="120" w:after="120"/>
      </w:pPr>
      <w:r>
        <w:t xml:space="preserve"/>
      </w:r>
    </w:p>
    <w:p>
      <w:pPr>
        <w:spacing w:before="60" w:after="80"/>
      </w:pPr>
      <w:r>
        <w:rPr>
          <w:rFonts w:ascii="Georgia" w:cs="Georgia" w:eastAsia="Georgia" w:hAnsi="Georgia"/>
          <w:b/>
          <w:bCs/>
          <w:color w:val="7A1A1A"/>
          <w:sz w:val="20"/>
          <w:szCs w:val="20"/>
        </w:rPr>
        <w:t xml:space="preserve">What is expressly excluded: </w:t>
      </w:r>
      <w:r>
        <w:rPr>
          <w:rFonts w:ascii="Georgia" w:cs="Georgia" w:eastAsia="Georgia" w:hAnsi="Georgia"/>
          <w:color w:val="4A5568"/>
          <w:sz w:val="20"/>
          <w:szCs w:val="20"/>
        </w:rPr>
        <w:t xml:space="preserve">No real-money purchases unlock gambling access. No subscription tier allows real-money wagering. No KALON winnings can be converted to real currency through any Concord-supported mechanism. The terms of service explicitly prohibit real-money KALON trading and secondary markets — violations result in account termination. This is not optional policy. It is the legal architecture that keeps The Concord operable in Belgium, China, and everywhere else.</w:t>
      </w:r>
    </w:p>
    <w:p>
      <w:pPr>
        <w:pStyle w:val="Heading2"/>
        <w:spacing w:before="320" w:after="100"/>
      </w:pPr>
      <w:r>
        <w:rPr>
          <w:rFonts w:ascii="Arial" w:cs="Arial" w:eastAsia="Arial" w:hAnsi="Arial"/>
          <w:b/>
          <w:bCs/>
          <w:color w:val="2E4057"/>
          <w:sz w:val="26"/>
          <w:szCs w:val="26"/>
        </w:rPr>
        <w:t xml:space="preserve">3.5  The Regulatory Future-Proofing Position</w:t>
      </w:r>
    </w:p>
    <w:p>
      <w:pPr>
        <w:spacing w:before="60" w:after="80"/>
      </w:pPr>
      <w:r>
        <w:rPr>
          <w:rFonts w:ascii="Georgia" w:cs="Georgia" w:eastAsia="Georgia" w:hAnsi="Georgia"/>
          <w:color w:val="4A5568"/>
          <w:sz w:val="20"/>
          <w:szCs w:val="20"/>
        </w:rPr>
        <w:t xml:space="preserve">The EU is moving toward harmonised loot box regulation. The direction of travel is clear even if the timeline is not. The Concord should be designed to weather the most restrictive plausible regulatory environment — not the current lenient one.</w:t>
      </w:r>
    </w:p>
    <w:p>
      <w:pPr>
        <w:pStyle w:val="ListParagraph"/>
        <w:numPr>
          <w:ilvl w:val="0"/>
          <w:numId w:val="2"/>
        </w:numPr>
        <w:spacing w:before="40" w:after="40"/>
      </w:pPr>
      <w:r>
        <w:rPr>
          <w:rFonts w:ascii="Georgia" w:cs="Georgia" w:eastAsia="Georgia" w:hAnsi="Georgia"/>
          <w:color w:val="4A5568"/>
          <w:sz w:val="20"/>
          <w:szCs w:val="20"/>
        </w:rPr>
        <w:t xml:space="preserve">All random-element games: odds disclosed publicly and in-app</w:t>
      </w:r>
    </w:p>
    <w:p>
      <w:pPr>
        <w:pStyle w:val="ListParagraph"/>
        <w:numPr>
          <w:ilvl w:val="0"/>
          <w:numId w:val="2"/>
        </w:numPr>
        <w:spacing w:before="40" w:after="40"/>
      </w:pPr>
      <w:r>
        <w:rPr>
          <w:rFonts w:ascii="Georgia" w:cs="Georgia" w:eastAsia="Georgia" w:hAnsi="Georgia"/>
          <w:color w:val="4A5568"/>
          <w:sz w:val="20"/>
          <w:szCs w:val="20"/>
        </w:rPr>
        <w:t xml:space="preserve">No paid-randomisation: no real money can purchase a random outcome</w:t>
      </w:r>
    </w:p>
    <w:p>
      <w:pPr>
        <w:pStyle w:val="ListParagraph"/>
        <w:numPr>
          <w:ilvl w:val="0"/>
          <w:numId w:val="2"/>
        </w:numPr>
        <w:spacing w:before="40" w:after="40"/>
      </w:pPr>
      <w:r>
        <w:rPr>
          <w:rFonts w:ascii="Georgia" w:cs="Georgia" w:eastAsia="Georgia" w:hAnsi="Georgia"/>
          <w:color w:val="4A5568"/>
          <w:sz w:val="20"/>
          <w:szCs w:val="20"/>
        </w:rPr>
        <w:t xml:space="preserve">No secondary markets: terms of service and technical architecture prevent KALON cash-out</w:t>
      </w:r>
    </w:p>
    <w:p>
      <w:pPr>
        <w:pStyle w:val="ListParagraph"/>
        <w:numPr>
          <w:ilvl w:val="0"/>
          <w:numId w:val="2"/>
        </w:numPr>
        <w:spacing w:before="40" w:after="40"/>
      </w:pPr>
      <w:r>
        <w:rPr>
          <w:rFonts w:ascii="Georgia" w:cs="Georgia" w:eastAsia="Georgia" w:hAnsi="Georgia"/>
          <w:color w:val="4A5568"/>
          <w:sz w:val="20"/>
          <w:szCs w:val="20"/>
        </w:rPr>
        <w:t xml:space="preserve">Age verification: mandatory, technically enforced, not honour-system</w:t>
      </w:r>
    </w:p>
    <w:p>
      <w:pPr>
        <w:pStyle w:val="ListParagraph"/>
        <w:numPr>
          <w:ilvl w:val="0"/>
          <w:numId w:val="2"/>
        </w:numPr>
        <w:spacing w:before="40" w:after="40"/>
      </w:pPr>
      <w:r>
        <w:rPr>
          <w:rFonts w:ascii="Georgia" w:cs="Georgia" w:eastAsia="Georgia" w:hAnsi="Georgia"/>
          <w:color w:val="4A5568"/>
          <w:sz w:val="20"/>
          <w:szCs w:val="20"/>
        </w:rPr>
        <w:t xml:space="preserve">Spending transparency: players can see their total KALON staked, won, and lost across all House Games in their account dashboard</w:t>
      </w:r>
    </w:p>
    <w:p>
      <w:pPr>
        <w:pStyle w:val="ListParagraph"/>
        <w:numPr>
          <w:ilvl w:val="0"/>
          <w:numId w:val="2"/>
        </w:numPr>
        <w:spacing w:before="40" w:after="40"/>
      </w:pPr>
      <w:r>
        <w:rPr>
          <w:rFonts w:ascii="Georgia" w:cs="Georgia" w:eastAsia="Georgia" w:hAnsi="Georgia"/>
          <w:color w:val="4A5568"/>
          <w:sz w:val="20"/>
          <w:szCs w:val="20"/>
        </w:rPr>
        <w:t xml:space="preserve">Parental controls: full restriction of House Games accessible from family accounts</w:t>
      </w:r>
    </w:p>
    <w:p>
      <w:pPr>
        <w:spacing w:before="60" w:after="60"/>
      </w:pPr>
      <w:r>
        <w:t xml:space="preserve"/>
      </w:r>
    </w:p>
    <w:p>
      <w:pPr>
        <w:spacing w:before="60" w:after="80"/>
      </w:pPr>
      <w:r>
        <w:rPr>
          <w:rFonts w:ascii="Georgia" w:cs="Georgia" w:eastAsia="Georgia" w:hAnsi="Georgia"/>
          <w:color w:val="4A5568"/>
          <w:sz w:val="20"/>
          <w:szCs w:val="20"/>
        </w:rPr>
        <w:t xml:space="preserve">This position means The Concord never needs to change its core mechanics to comply with tightening regulation. It is already at the standard toward which regulation is heading. This is a strategic advantage over competitors who built on permissive current standards and will have to retrofit compliance.</w:t>
      </w:r>
    </w:p>
    <w:p>
      <w:pPr>
        <w:spacing w:before="200" w:after="200"/>
      </w:pPr>
      <w:r>
        <w:t xml:space="preserve"/>
      </w:r>
    </w:p>
    <w:p>
      <w:pPr>
        <w:pBdr>
          <w:bottom w:val="single" w:color="B8963E" w:sz="6"/>
        </w:pBdr>
        <w:spacing w:before="60" w:after="60"/>
      </w:pPr>
      <w:r>
        <w:t xml:space="preserve"/>
      </w:r>
    </w:p>
    <w:p>
      <w:pPr>
        <w:spacing w:before="80" w:after="0"/>
        <w:jc w:val="center"/>
      </w:pPr>
      <w:r>
        <w:rPr>
          <w:rFonts w:ascii="Arial" w:cs="Arial" w:eastAsia="Arial" w:hAnsi="Arial"/>
          <w:i/>
          <w:iCs/>
          <w:color w:val="8A9BB5"/>
          <w:sz w:val="16"/>
          <w:szCs w:val="16"/>
        </w:rPr>
        <w:t xml:space="preserve">THE CONCORD — Design Digest Session 7B — March 2026 — Founding Team Only</w:t>
      </w:r>
    </w:p>
    <w:p>
      <w:pPr>
        <w:spacing w:before="0" w:after="120"/>
        <w:jc w:val="center"/>
      </w:pPr>
      <w:r>
        <w:rPr>
          <w:rFonts w:ascii="Georgia" w:cs="Georgia" w:eastAsia="Georgia" w:hAnsi="Georgia"/>
          <w:i/>
          <w:iCs/>
          <w:color w:val="B8963E"/>
          <w:sz w:val="18"/>
          <w:szCs w:val="18"/>
        </w:rPr>
        <w:t xml:space="preserve">$15 is complete. $25 is the target. $35 is the reward for commitment. House Games are entertainment, not extraction.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sz w:val="18"/>
        <w:szCs w:val="18"/>
      </w:rPr>
    </w:lvl>
    <w:lvl w:ilvl="1" w15:tentative="1">
      <w:start w:val="1"/>
      <w:numFmt w:val="bullet"/>
      <w:lvlText w:val="–"/>
      <w:lvlJc w:val="left"/>
      <w:pPr>
        <w:ind w:left="840" w:hanging="280"/>
      </w:pPr>
      <w:rPr>
        <w:rFonts w:ascii="Arial" w:cs="Arial" w:eastAsia="Arial" w:hAnsi="Arial"/>
        <w:color w:val="8A9BB5"/>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61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2026-03-05T18:04:34.557Z</dcterms:created>
  <dcterms:modified xsi:type="dcterms:W3CDTF">2026-03-05T18:04:34.558Z</dcterms:modified>
</cp:coreProperties>
</file>

<file path=docProps/custom.xml><?xml version="1.0" encoding="utf-8"?>
<Properties xmlns="http://schemas.openxmlformats.org/officeDocument/2006/custom-properties" xmlns:vt="http://schemas.openxmlformats.org/officeDocument/2006/docPropsVTypes"/>
</file>