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color w:val="B8963E"/>
          <w:sz w:val="28"/>
          <w:szCs w:val="28"/>
        </w:rPr>
        <w:t xml:space="preserve">★ ★ ★ ★ ★</w:t>
      </w:r>
    </w:p>
    <w:p>
      <w:pPr>
        <w:spacing w:before="40" w:after="0"/>
        <w:jc w:val="center"/>
      </w:pPr>
      <w:r>
        <w:rPr>
          <w:rFonts w:ascii="Arial" w:cs="Arial" w:eastAsia="Arial" w:hAnsi="Arial"/>
          <w:b/>
          <w:bCs/>
          <w:color w:val="0D1B2A"/>
          <w:sz w:val="112"/>
          <w:szCs w:val="112"/>
        </w:rPr>
        <w:t xml:space="preserve">THE CONCORD</w:t>
      </w:r>
    </w:p>
    <w:p>
      <w:pPr>
        <w:spacing w:before="10" w:after="0"/>
        <w:jc w:val="center"/>
      </w:pPr>
      <w:r>
        <w:rPr>
          <w:rFonts w:ascii="Arial" w:cs="Arial" w:eastAsia="Arial" w:hAnsi="Arial"/>
          <w:b/>
          <w:bCs/>
          <w:color w:val="B8963E"/>
          <w:sz w:val="40"/>
          <w:szCs w:val="40"/>
        </w:rPr>
        <w:t xml:space="preserve">MASTER DESIGN BIBLE</w:t>
      </w:r>
    </w:p>
    <w:p>
      <w:pPr>
        <w:pBdr>
          <w:bottom w:val="single" w:color="B8963E" w:sz="6"/>
        </w:pBdr>
        <w:spacing w:before="60" w:after="60"/>
      </w:pPr>
      <w:r>
        <w:t xml:space="preserve"/>
      </w:r>
    </w:p>
    <w:p>
      <w:pPr>
        <w:spacing w:before="40" w:after="0"/>
        <w:jc w:val="center"/>
      </w:pPr>
      <w:r>
        <w:rPr>
          <w:rFonts w:ascii="Arial" w:cs="Arial" w:eastAsia="Arial" w:hAnsi="Arial"/>
          <w:i/>
          <w:iCs/>
          <w:color w:val="8A9BB5"/>
          <w:sz w:val="22"/>
          <w:szCs w:val="22"/>
        </w:rPr>
        <w:t xml:space="preserve">Vision  ·  Economy  ·  Governance  ·  Permanence  ·  The Voting Architect</w:t>
      </w:r>
    </w:p>
    <w:p>
      <w:pPr>
        <w:spacing w:before="20" w:after="0"/>
        <w:jc w:val="center"/>
      </w:pPr>
      <w:r>
        <w:rPr>
          <w:rFonts w:ascii="Arial" w:cs="Arial" w:eastAsia="Arial" w:hAnsi="Arial"/>
          <w:color w:val="8A9BB5"/>
          <w:sz w:val="18"/>
          <w:szCs w:val="18"/>
        </w:rPr>
        <w:t xml:space="preserve">Sessions 1 – 7  ·  March 2026  ·  Founding Team Only</w:t>
      </w:r>
    </w:p>
    <w:p>
      <w:pPr>
        <w:spacing w:before="60" w:after="0"/>
        <w:jc w:val="center"/>
      </w:pPr>
      <w:r>
        <w:rPr>
          <w:rFonts w:ascii="Arial" w:cs="Arial" w:eastAsia="Arial" w:hAnsi="Arial"/>
          <w:color w:val="B8963E"/>
          <w:sz w:val="28"/>
          <w:szCs w:val="28"/>
        </w:rPr>
        <w:t xml:space="preserve">★ ★ ★ ★ ★</w:t>
      </w:r>
    </w:p>
    <w:p>
      <w:pPr>
        <w:pStyle w:val="Heading1"/>
        <w:pageBreakBefore/>
        <w:pBdr>
          <w:bottom w:val="single" w:color="B8963E" w:sz="8"/>
        </w:pBdr>
        <w:spacing w:before="0" w:after="180"/>
      </w:pPr>
      <w:r>
        <w:rPr>
          <w:rFonts w:ascii="Arial" w:cs="Arial" w:eastAsia="Arial" w:hAnsi="Arial"/>
          <w:b/>
          <w:bCs/>
          <w:color w:val="0D1B2A"/>
          <w:sz w:val="34"/>
          <w:szCs w:val="34"/>
        </w:rPr>
        <w:t xml:space="preserve">I.  THE VISION &amp; CORE PHILOSOPHY</w:t>
      </w:r>
    </w:p>
    <w:p>
      <w:pPr>
        <w:pBdr>
          <w:left w:val="thick" w:color="B8963E" w:sz="20"/>
        </w:pBdr>
        <w:spacing w:before="140" w:after="140"/>
        <w:ind w:left="560" w:right="280"/>
      </w:pPr>
      <w:r>
        <w:rPr>
          <w:rFonts w:ascii="Georgia" w:cs="Georgia" w:eastAsia="Georgia" w:hAnsi="Georgia"/>
          <w:i/>
          <w:iCs/>
          <w:color w:val="222222"/>
          <w:sz w:val="21"/>
          <w:szCs w:val="21"/>
        </w:rPr>
        <w:t xml:space="preserve">The Concord is not a game about winning. It is a game about what you leave behind. Civilisations rise and fall across 800 years of persistent history. Every dynasty that ever existed remains in the Remembrance. Nothing is erased. Everything is permanent. The mathematics decides what survives.</w:t>
      </w:r>
    </w:p>
    <w:p>
      <w:pPr>
        <w:pStyle w:val="Heading2"/>
        <w:spacing w:before="280" w:after="80"/>
      </w:pPr>
      <w:r>
        <w:rPr>
          <w:rFonts w:ascii="Arial" w:cs="Arial" w:eastAsia="Arial" w:hAnsi="Arial"/>
          <w:b/>
          <w:bCs/>
          <w:color w:val="2E4057"/>
          <w:sz w:val="24"/>
          <w:szCs w:val="24"/>
        </w:rPr>
        <w:t xml:space="preserve">1.1  What The Concord Is</w:t>
      </w:r>
    </w:p>
    <w:p>
      <w:pPr>
        <w:spacing w:before="40" w:after="60"/>
      </w:pPr>
      <w:r>
        <w:rPr>
          <w:rFonts w:ascii="Georgia" w:cs="Georgia" w:eastAsia="Georgia" w:hAnsi="Georgia"/>
          <w:color w:val="4A5568"/>
          <w:sz w:val="20"/>
          <w:szCs w:val="20"/>
        </w:rPr>
        <w:t xml:space="preserve">The Concord is a persistent, single-shard, civilisational simulation spanning 600+ worlds, 800 years of in-universe history, and a player-driven economy governed by KALON — a currency whose supply, distribution, and integrity are publicly verifiable at all times. Players do not play characters. They steward dynasties — multi-generational houses whose decisions, alliances, betrayals, and legacies are permanently recorded in the Remembrance.</w:t>
      </w:r>
    </w:p>
    <w:p>
      <w:pPr>
        <w:spacing w:before="40" w:after="60"/>
      </w:pPr>
      <w:r>
        <w:rPr>
          <w:rFonts w:ascii="Georgia" w:cs="Georgia" w:eastAsia="Georgia" w:hAnsi="Georgia"/>
          <w:color w:val="4A5568"/>
          <w:sz w:val="20"/>
          <w:szCs w:val="20"/>
        </w:rPr>
        <w:t xml:space="preserve">The game runs 24 hours a day whether players are logged in or not. The Ascendancy advances. The Assembly debates. The Architect publishes its quarterly reports. The economy breathes. A dynasty that goes dormant for three months returns to a changed universe. A dynasty that lapses entirely is recorded in the Remembrance as a house that fell — and its history remains.</w:t>
      </w:r>
    </w:p>
    <w:p>
      <w:pPr>
        <w:pStyle w:val="Heading2"/>
        <w:spacing w:before="280" w:after="80"/>
      </w:pPr>
      <w:r>
        <w:rPr>
          <w:rFonts w:ascii="Arial" w:cs="Arial" w:eastAsia="Arial" w:hAnsi="Arial"/>
          <w:b/>
          <w:bCs/>
          <w:color w:val="2E4057"/>
          <w:sz w:val="24"/>
          <w:szCs w:val="24"/>
        </w:rPr>
        <w:t xml:space="preserve">1.2  The Five Pillars</w:t>
      </w:r>
    </w:p>
    <w:p>
      <w:pPr>
        <w:pStyle w:val="ListParagraph"/>
        <w:numPr>
          <w:ilvl w:val="0"/>
          <w:numId w:val="2"/>
        </w:numPr>
        <w:spacing w:before="36" w:after="36"/>
      </w:pPr>
      <w:r>
        <w:rPr>
          <w:rFonts w:ascii="Georgia" w:cs="Georgia" w:eastAsia="Georgia" w:hAnsi="Georgia"/>
          <w:b/>
          <w:bCs/>
          <w:color w:val="0D1B2A"/>
          <w:sz w:val="20"/>
          <w:szCs w:val="20"/>
        </w:rPr>
        <w:t xml:space="preserve">Permanence: </w:t>
      </w:r>
      <w:r>
        <w:rPr>
          <w:rFonts w:ascii="Georgia" w:cs="Georgia" w:eastAsia="Georgia" w:hAnsi="Georgia"/>
          <w:color w:val="4A5568"/>
          <w:sz w:val="20"/>
          <w:szCs w:val="20"/>
        </w:rPr>
        <w:t xml:space="preserve">Every decision is recorded. Nothing is undone. No save states. No rollbacks. The Remembrance is an immutable historical archive — the most powerful thing in the game is what your dynasty did, not what it currently holds.</w:t>
      </w:r>
    </w:p>
    <w:p>
      <w:pPr>
        <w:pStyle w:val="ListParagraph"/>
        <w:numPr>
          <w:ilvl w:val="0"/>
          <w:numId w:val="2"/>
        </w:numPr>
        <w:spacing w:before="36" w:after="36"/>
      </w:pPr>
      <w:r>
        <w:rPr>
          <w:rFonts w:ascii="Georgia" w:cs="Georgia" w:eastAsia="Georgia" w:hAnsi="Georgia"/>
          <w:b/>
          <w:bCs/>
          <w:color w:val="0D1B2A"/>
          <w:sz w:val="20"/>
          <w:szCs w:val="20"/>
        </w:rPr>
        <w:t xml:space="preserve">Provable Fairness: </w:t>
      </w:r>
      <w:r>
        <w:rPr>
          <w:rFonts w:ascii="Georgia" w:cs="Georgia" w:eastAsia="Georgia" w:hAnsi="Georgia"/>
          <w:color w:val="4A5568"/>
          <w:sz w:val="20"/>
          <w:szCs w:val="20"/>
        </w:rPr>
        <w:t xml:space="preserve">No cheat codes. No admin backdoors. No steerable narrative outcomes. All high-stakes results are cryptographically committed before they occur and publicly verifiable after. The randomness engine is seeded by aggregate player actions and quantum-sourced external entropy. No single party — including the studio — can predict or manipulate outcomes.</w:t>
      </w:r>
    </w:p>
    <w:p>
      <w:pPr>
        <w:pStyle w:val="ListParagraph"/>
        <w:numPr>
          <w:ilvl w:val="0"/>
          <w:numId w:val="2"/>
        </w:numPr>
        <w:spacing w:before="36" w:after="36"/>
      </w:pPr>
      <w:r>
        <w:rPr>
          <w:rFonts w:ascii="Georgia" w:cs="Georgia" w:eastAsia="Georgia" w:hAnsi="Georgia"/>
          <w:b/>
          <w:bCs/>
          <w:color w:val="0D1B2A"/>
          <w:sz w:val="20"/>
          <w:szCs w:val="20"/>
        </w:rPr>
        <w:t xml:space="preserve">Economic Integrity: </w:t>
      </w:r>
      <w:r>
        <w:rPr>
          <w:rFonts w:ascii="Georgia" w:cs="Georgia" w:eastAsia="Georgia" w:hAnsi="Georgia"/>
          <w:color w:val="4A5568"/>
          <w:sz w:val="20"/>
          <w:szCs w:val="20"/>
        </w:rPr>
        <w:t xml:space="preserve">KALON is a designed currency with published supply mechanics, progressive taxation, a Commons Fund, and Gini-indexed health monitoring. The Concord employs a resident economist from launch. The Architect publishes quarterly economic reports. Wealth concentration is structurally prevented, not hoped against.</w:t>
      </w:r>
    </w:p>
    <w:p>
      <w:pPr>
        <w:pStyle w:val="ListParagraph"/>
        <w:numPr>
          <w:ilvl w:val="0"/>
          <w:numId w:val="2"/>
        </w:numPr>
        <w:spacing w:before="36" w:after="36"/>
      </w:pPr>
      <w:r>
        <w:rPr>
          <w:rFonts w:ascii="Georgia" w:cs="Georgia" w:eastAsia="Georgia" w:hAnsi="Georgia"/>
          <w:b/>
          <w:bCs/>
          <w:color w:val="0D1B2A"/>
          <w:sz w:val="20"/>
          <w:szCs w:val="20"/>
        </w:rPr>
        <w:t xml:space="preserve">Community Governance: </w:t>
      </w:r>
      <w:r>
        <w:rPr>
          <w:rFonts w:ascii="Georgia" w:cs="Georgia" w:eastAsia="Georgia" w:hAnsi="Georgia"/>
          <w:color w:val="4A5568"/>
          <w:sz w:val="20"/>
          <w:szCs w:val="20"/>
        </w:rPr>
        <w:t xml:space="preserve">The Assembly is a real governance system with weighted voting, The Architect as a constitutional actor, and binding decisions on defined questions. Players shape the game's future within designed constitutional constraints. No vote can override the Five Pillars.</w:t>
      </w:r>
    </w:p>
    <w:p>
      <w:pPr>
        <w:pStyle w:val="ListParagraph"/>
        <w:numPr>
          <w:ilvl w:val="0"/>
          <w:numId w:val="2"/>
        </w:numPr>
        <w:spacing w:before="36" w:after="36"/>
      </w:pPr>
      <w:r>
        <w:rPr>
          <w:rFonts w:ascii="Georgia" w:cs="Georgia" w:eastAsia="Georgia" w:hAnsi="Georgia"/>
          <w:b/>
          <w:bCs/>
          <w:color w:val="0D1B2A"/>
          <w:sz w:val="20"/>
          <w:szCs w:val="20"/>
        </w:rPr>
        <w:t xml:space="preserve">Civilisational Depth: </w:t>
      </w:r>
      <w:r>
        <w:rPr>
          <w:rFonts w:ascii="Georgia" w:cs="Georgia" w:eastAsia="Georgia" w:hAnsi="Georgia"/>
          <w:color w:val="4A5568"/>
          <w:sz w:val="20"/>
          <w:szCs w:val="20"/>
        </w:rPr>
        <w:t xml:space="preserve">600+ worlds, 800 years, 12 principal characters, ~80 secondary, ~400+ tertiary figures populating the Remembrance. Player dynasties are first-class historical actors. The narrative layers include authored arcs, responsive world-state, and a cryptographically undirected layer whose outcomes even the studio cannot predict.</w:t>
      </w:r>
    </w:p>
    <w:p>
      <w:pPr>
        <w:pStyle w:val="Heading2"/>
        <w:spacing w:before="280" w:after="80"/>
      </w:pPr>
      <w:r>
        <w:rPr>
          <w:rFonts w:ascii="Arial" w:cs="Arial" w:eastAsia="Arial" w:hAnsi="Arial"/>
          <w:b/>
          <w:bCs/>
          <w:color w:val="2E4057"/>
          <w:sz w:val="24"/>
          <w:szCs w:val="24"/>
        </w:rPr>
        <w:t xml:space="preserve">1.3  The Silfen Weave — The Game's Soul</w:t>
      </w:r>
    </w:p>
    <w:p>
      <w:pPr>
        <w:spacing w:before="40" w:after="60"/>
      </w:pPr>
      <w:r>
        <w:rPr>
          <w:rFonts w:ascii="Georgia" w:cs="Georgia" w:eastAsia="Georgia" w:hAnsi="Georgia"/>
          <w:color w:val="4A5568"/>
          <w:sz w:val="20"/>
          <w:szCs w:val="20"/>
        </w:rPr>
        <w:t xml:space="preserve">Named after Peter F. Hamilton's Silfen Paths. Transitions between worlds, between Phases, between the personal and the civilisational must be invisible. A player surveys a remote world and finds a Remembrance entry from a cartographer who died 200 years ago. They do not feel they have switched systems. They feel they have found something real.</w:t>
      </w:r>
    </w:p>
    <w:p>
      <w:pPr>
        <w:spacing w:before="40" w:after="60"/>
      </w:pPr>
      <w:r>
        <w:rPr>
          <w:rFonts w:ascii="Georgia" w:cs="Georgia" w:eastAsia="Georgia" w:hAnsi="Georgia"/>
          <w:color w:val="4A5568"/>
          <w:sz w:val="20"/>
          <w:szCs w:val="20"/>
        </w:rPr>
        <w:t xml:space="preserve">The Silfen Weave is not a loading screen philosophy. It is an architectural principle. Every system — economy, governance, narrative, House Games, the Architect's reports — must be woven into a single coherent fabric. Players who look closely find more. Players who look very closely find things the studio did not fully intend. This is by design.</w:t>
      </w:r>
    </w:p>
    <w:p>
      <w:pPr>
        <w:pStyle w:val="Heading1"/>
        <w:pageBreakBefore/>
        <w:pBdr>
          <w:bottom w:val="single" w:color="B8963E" w:sz="8"/>
        </w:pBdr>
        <w:spacing w:before="0" w:after="180"/>
      </w:pPr>
      <w:r>
        <w:rPr>
          <w:rFonts w:ascii="Arial" w:cs="Arial" w:eastAsia="Arial" w:hAnsi="Arial"/>
          <w:b/>
          <w:bCs/>
          <w:color w:val="0D1B2A"/>
          <w:sz w:val="34"/>
          <w:szCs w:val="34"/>
        </w:rPr>
        <w:t xml:space="preserve">II.  THE WORLD — 600 WORLDS, 800 YEARS</w:t>
      </w:r>
    </w:p>
    <w:p>
      <w:pPr>
        <w:pStyle w:val="Heading2"/>
        <w:spacing w:before="280" w:after="80"/>
      </w:pPr>
      <w:r>
        <w:rPr>
          <w:rFonts w:ascii="Arial" w:cs="Arial" w:eastAsia="Arial" w:hAnsi="Arial"/>
          <w:b/>
          <w:bCs/>
          <w:color w:val="2E4057"/>
          <w:sz w:val="24"/>
          <w:szCs w:val="24"/>
        </w:rPr>
        <w:t xml:space="preserve">2.1  The Universe Structure</w:t>
      </w:r>
    </w:p>
    <w:p>
      <w:pPr>
        <w:spacing w:before="40" w:after="60"/>
      </w:pPr>
      <w:r>
        <w:rPr>
          <w:rFonts w:ascii="Georgia" w:cs="Georgia" w:eastAsia="Georgia" w:hAnsi="Georgia"/>
          <w:color w:val="4A5568"/>
          <w:sz w:val="20"/>
          <w:szCs w:val="20"/>
        </w:rPr>
        <w:t xml:space="preserve">The Concord spans a region of space accessed through the Lattice — a network of transit gates connecting 600+ surveyed and settled worlds. Worlds range from newly surveyed frontier planets to ancient civilised cores with centuries of recorded history. The Ascendancy — an intelligence whose nature The Architect has studied for 300 years without a definitive conclusion — advances from a specific vector of deep space, arriving at inhabited worlds on a timeline that the Remembrance's careful readers can estimate but not precisely predict.</w:t>
      </w:r>
    </w:p>
    <w:p>
      <w:pPr>
        <w:pStyle w:val="Heading2"/>
        <w:spacing w:before="280" w:after="80"/>
      </w:pPr>
      <w:r>
        <w:rPr>
          <w:rFonts w:ascii="Arial" w:cs="Arial" w:eastAsia="Arial" w:hAnsi="Arial"/>
          <w:b/>
          <w:bCs/>
          <w:color w:val="2E4057"/>
          <w:sz w:val="24"/>
          <w:szCs w:val="24"/>
        </w:rPr>
        <w:t xml:space="preserve">2.2  The Lattice &amp; Vacuum Bubble Transit</w:t>
      </w:r>
    </w:p>
    <w:p>
      <w:pPr>
        <w:spacing w:before="40" w:after="60"/>
      </w:pPr>
      <w:r>
        <w:rPr>
          <w:rFonts w:ascii="Georgia" w:cs="Georgia" w:eastAsia="Georgia" w:hAnsi="Georgia"/>
          <w:color w:val="4A5568"/>
          <w:sz w:val="20"/>
          <w:szCs w:val="20"/>
        </w:rPr>
        <w:t xml:space="preserve">Transit between worlds occurs via the Lattice, a network of gates whose physics are grounded in the Schwinger limit — the electromagnetic field strength at which the quantum vacuum becomes unstable. Vacuum bubble transit is not instantaneous. It has a phenomenology: a specific visual signature, a brief perceptual discontinuity, an arrival experience that varies by destination world's atmospheric and gravitational parameters. Players who study transit physics can extract navigational information from arrival signatures. This is a skill, not a cheat.</w:t>
      </w:r>
    </w:p>
    <w:p>
      <w:pPr>
        <w:pStyle w:val="Heading2"/>
        <w:spacing w:before="280" w:after="80"/>
      </w:pPr>
      <w:r>
        <w:rPr>
          <w:rFonts w:ascii="Arial" w:cs="Arial" w:eastAsia="Arial" w:hAnsi="Arial"/>
          <w:b/>
          <w:bCs/>
          <w:color w:val="2E4057"/>
          <w:sz w:val="24"/>
          <w:szCs w:val="24"/>
        </w:rPr>
        <w:t xml:space="preserve">2.3  The Five Phases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PHASE</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IN-UNIVERSE ERA</w:t>
            </w:r>
          </w:p>
        </w:tc>
        <w:tc>
          <w:tcPr>
            <w:tcW w:type="dxa" w:w="69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DESIGN CHARACTER</w:t>
            </w:r>
          </w:p>
        </w:tc>
      </w:tr>
      <w:tr>
        <w:tc>
          <w:tcPr>
            <w:tcW w:type="dxa" w:w="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bCs/>
                <w:color w:val="0D1B2A"/>
                <w:sz w:val="18"/>
                <w:szCs w:val="18"/>
              </w:rPr>
              <w:t xml:space="preserve">1</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Founding</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Survey, settle, establish. Dynasties claim worlds. The Assembly forms. The Architect publishes its first reports. The Ascendancy is a rumour in deep space 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D1B2A"/>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Expansion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Trade routes, alliances, political factions consolidate. KALON economy matures. First Survivor Marks awarded. The Architect's reports grow more specific.</w:t>
            </w:r>
          </w:p>
        </w:tc>
      </w:tr>
      <w:tr>
        <w:tc>
          <w:tcPr>
            <w:tcW w:type="dxa" w:w="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bCs/>
                <w:color w:val="0D1B2A"/>
                <w:sz w:val="18"/>
                <w:szCs w:val="18"/>
              </w:rPr>
              <w:t xml:space="preserve">3</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Warning</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Ascendancy incursions confirmed at frontier worlds. Assembly debates response. The Architect's seventh report contains the passage players will later call the Turning Point.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D1B2A"/>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Crisis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Active Ascendancy engagement. Worlds fall, adapt, or resist. Coalition politics. The economy under stress. The Silence Event cascade sequence begins.</w:t>
            </w:r>
          </w:p>
        </w:tc>
      </w:tr>
      <w:tr>
        <w:tc>
          <w:tcPr>
            <w:tcW w:type="dxa" w:w="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bCs/>
                <w:color w:val="0D1B2A"/>
                <w:sz w:val="18"/>
                <w:szCs w:val="18"/>
              </w:rPr>
              <w:t xml:space="preserve">5</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Reckoning</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Resolution. The Concord's future determined by the aggregate of 800 years of player decisions. The Remembrance closes its first cycle. New Founding begins.</w:t>
            </w:r>
          </w:p>
        </w:tc>
      </w:tr>
    </w:tbl>
    <w:p>
      <w:pPr>
        <w:spacing w:before="120" w:after="120"/>
      </w:pPr>
      <w:r>
        <w:t xml:space="preserve"/>
      </w:r>
    </w:p>
    <w:p>
      <w:pPr>
        <w:pStyle w:val="Heading2"/>
        <w:spacing w:before="280" w:after="80"/>
      </w:pPr>
      <w:r>
        <w:rPr>
          <w:rFonts w:ascii="Arial" w:cs="Arial" w:eastAsia="Arial" w:hAnsi="Arial"/>
          <w:b/>
          <w:bCs/>
          <w:color w:val="2E4057"/>
          <w:sz w:val="24"/>
          <w:szCs w:val="24"/>
        </w:rPr>
        <w:t xml:space="preserve">2.4  The Ascendancy — The Unreliable Threat</w:t>
      </w:r>
    </w:p>
    <w:p>
      <w:pPr>
        <w:spacing w:before="40" w:after="60"/>
      </w:pPr>
      <w:r>
        <w:rPr>
          <w:rFonts w:ascii="Georgia" w:cs="Georgia" w:eastAsia="Georgia" w:hAnsi="Georgia"/>
          <w:color w:val="4A5568"/>
          <w:sz w:val="20"/>
          <w:szCs w:val="20"/>
        </w:rPr>
        <w:t xml:space="preserve">The Ascendancy does not attack. It degrades. It finds a world's political and economic fault lines and amplifies them — cycles of dysfunction that hollow out resistance without appearing to be an external force. Populations that understand the pattern can interrupt it. Those who don't watch their worlds decay without knowing why. This is the Ascendancy's real weapon: not conquest but erosion. The Architect has studied it for 300 years. Its quarterly reports contain careful language about 'civilisational resilience metrics' that attentive players recognise as Ascendancy threat assessments.</w:t>
      </w:r>
    </w:p>
    <w:p>
      <w:pPr>
        <w:spacing w:before="40" w:after="60"/>
      </w:pPr>
      <w:r>
        <w:rPr>
          <w:rFonts w:ascii="Georgia" w:cs="Georgia" w:eastAsia="Georgia" w:hAnsi="Georgia"/>
          <w:color w:val="4A5568"/>
          <w:sz w:val="20"/>
          <w:szCs w:val="20"/>
        </w:rPr>
        <w:t xml:space="preserve">The Ascendancy's exact arrival timeline, its first confirmed incursion world, and the cascade sequence of the Silence Event are all governed by the Undirected Narrative Layer — cryptographically committed and mathematically determined, unknown to the studio until the same moment players discover them.</w:t>
      </w:r>
    </w:p>
    <w:p>
      <w:pPr>
        <w:pStyle w:val="Heading1"/>
        <w:pageBreakBefore/>
        <w:pBdr>
          <w:bottom w:val="single" w:color="B8963E" w:sz="8"/>
        </w:pBdr>
        <w:spacing w:before="0" w:after="180"/>
      </w:pPr>
      <w:r>
        <w:rPr>
          <w:rFonts w:ascii="Arial" w:cs="Arial" w:eastAsia="Arial" w:hAnsi="Arial"/>
          <w:b/>
          <w:bCs/>
          <w:color w:val="0D1B2A"/>
          <w:sz w:val="34"/>
          <w:szCs w:val="34"/>
        </w:rPr>
        <w:t xml:space="preserve">III.  KALON &amp; THE ECONOMY — DESIGNED AGAINST COLLAPSE</w:t>
      </w:r>
    </w:p>
    <w:p>
      <w:pPr>
        <w:pBdr>
          <w:left w:val="thick" w:color="B8963E" w:sz="20"/>
        </w:pBdr>
        <w:spacing w:before="140" w:after="140"/>
        <w:ind w:left="560" w:right="280"/>
      </w:pPr>
      <w:r>
        <w:rPr>
          <w:rFonts w:ascii="Georgia" w:cs="Georgia" w:eastAsia="Georgia" w:hAnsi="Georgia"/>
          <w:i/>
          <w:iCs/>
          <w:color w:val="222222"/>
          <w:sz w:val="21"/>
          <w:szCs w:val="21"/>
        </w:rPr>
        <w:t xml:space="preserve">Every unregulated virtual economy in history has produced a Gini coefficient above 0.9 — more unequal than any real-world nation. The Concord is built on the opposite premise: designed redistribution, progressive taxation, entropy for large wealth holdings, and a Commons Fund that ensures new dynasties can always participate. The Architect manages this. The Assembly debates it. The mathematics enforces it.</w:t>
      </w:r>
    </w:p>
    <w:p>
      <w:pPr>
        <w:pStyle w:val="Heading2"/>
        <w:spacing w:before="280" w:after="80"/>
      </w:pPr>
      <w:r>
        <w:rPr>
          <w:rFonts w:ascii="Arial" w:cs="Arial" w:eastAsia="Arial" w:hAnsi="Arial"/>
          <w:b/>
          <w:bCs/>
          <w:color w:val="2E4057"/>
          <w:sz w:val="24"/>
          <w:szCs w:val="24"/>
        </w:rPr>
        <w:t xml:space="preserve">3.1  KALON — The Currency</w:t>
      </w:r>
    </w:p>
    <w:p>
      <w:pPr>
        <w:spacing w:before="40" w:after="60"/>
      </w:pPr>
      <w:r>
        <w:rPr>
          <w:rFonts w:ascii="Georgia" w:cs="Georgia" w:eastAsia="Georgia" w:hAnsi="Georgia"/>
          <w:color w:val="4A5568"/>
          <w:sz w:val="20"/>
          <w:szCs w:val="20"/>
        </w:rPr>
        <w:t xml:space="preserve">KALON (pronunciation: community-decided, intentionally unspecified — the Assembly has never ruled on the matter) is The Concord's sole currency. It is not purchased with real money. It is earned through gameplay, distributed via subscription stipends, awarded for civic contributions, and redistributed from the Commons Fund. The total supply is fixed at genesis and managed by the Progressive Supply Protocol.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PROPERTY</w:t>
            </w:r>
          </w:p>
        </w:tc>
        <w:tc>
          <w:tcPr>
            <w:tcW w:type="dxa" w:w="69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DESIGN DECISION</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Total supply</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Fixed at genesis. Published. Immutable. The Architect reports circulating supply quarterly — total minus Commons Fund reserve minus dormant dynasty holdings.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Initial distribution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50% distributed over Phase 1 via Universal Prosperity Allocation (UPA) — equal per active dynasty regardless of tier. 25% held in Commons Fund. 25% reserved for Transition Reserve (see Section 3.5).</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Faucets</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UPA quarterly distribution, subscription stipends, civic contribution rewards, survey verification bonuses, diplomatic resolution bonuses. All faucets are published and fixed.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Sinks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Transaction taxes (progressive), dynasty maintenance costs, world infrastructure costs, Lattice gate fees, Assembly petition fees, House Games losses. Sinks are calibrated to maintain price stability.</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Pronunciation</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Intentionally unspecified. The Assembly has debated this for 200 years. Players decide. This is a feature.</w:t>
            </w:r>
          </w:p>
        </w:tc>
      </w:tr>
    </w:tbl>
    <w:p>
      <w:pPr>
        <w:spacing w:before="120" w:after="120"/>
      </w:pPr>
      <w:r>
        <w:t xml:space="preserve"/>
      </w:r>
    </w:p>
    <w:p>
      <w:pPr>
        <w:pStyle w:val="Heading2"/>
        <w:spacing w:before="280" w:after="80"/>
      </w:pPr>
      <w:r>
        <w:rPr>
          <w:rFonts w:ascii="Arial" w:cs="Arial" w:eastAsia="Arial" w:hAnsi="Arial"/>
          <w:b/>
          <w:bCs/>
          <w:color w:val="2E4057"/>
          <w:sz w:val="24"/>
          <w:szCs w:val="24"/>
        </w:rPr>
        <w:t xml:space="preserve">3.2  The Gini Covenant — Wealth Concentration Limits</w:t>
      </w:r>
    </w:p>
    <w:p>
      <w:pPr>
        <w:spacing w:before="40" w:after="60"/>
      </w:pPr>
      <w:r>
        <w:rPr>
          <w:rFonts w:ascii="Georgia" w:cs="Georgia" w:eastAsia="Georgia" w:hAnsi="Georgia"/>
          <w:color w:val="4A5568"/>
          <w:sz w:val="20"/>
          <w:szCs w:val="20"/>
        </w:rPr>
        <w:t xml:space="preserve">The Concord monitors its own economy's Gini coefficient in real time, published on the Concord Ledger. The target band is 0.35–0.55 — healthy inequality that rewards skill and investment without producing the concentration that destroys player engagement. EVE Online operates at Gini 0.97. The Concord is designed to stay below 0.60 indefinitely through structural mechanisms, not manual intervention.</w:t>
      </w:r>
    </w:p>
    <w:p>
      <w:pPr>
        <w:spacing w:before="60" w:after="60"/>
      </w:pPr>
      <w:r>
        <w:t xml:space="preserve"/>
      </w:r>
    </w:p>
    <w:p>
      <w:pPr>
        <w:shd w:fill="2E4057" w:val="clear"/>
        <w:spacing w:before="180" w:after="0"/>
      </w:pPr>
      <w:r>
        <w:rPr>
          <w:rFonts w:ascii="Arial" w:cs="Arial" w:eastAsia="Arial" w:hAnsi="Arial"/>
          <w:b/>
          <w:bCs/>
          <w:color w:val="FFFFFF"/>
          <w:sz w:val="20"/>
          <w:szCs w:val="20"/>
        </w:rPr>
        <w:t xml:space="preserve">  THE THREE WEALTH ZONES — PERCENTAGE OF CIRCULATING SUPPLY</w:t>
      </w:r>
    </w:p>
    <w:p>
      <w:pPr>
        <w:pBdr>
          <w:bottom w:val="single" w:color="B8963E" w:sz="4"/>
        </w:pBdr>
        <w:spacing w:before="0" w:after="8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360"/>
        <w:gridCol w:w="3000"/>
        <w:gridCol w:w="960"/>
      </w:tblGrid>
      <w:tr>
        <w:tc>
          <w:tcPr>
            <w:tcW w:type="dxa" w:w="1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ZONE</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THRESHOLD</w:t>
            </w:r>
          </w:p>
        </w:tc>
        <w:tc>
          <w:tcPr>
            <w:tcW w:type="dxa" w:w="23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3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MECHANISMS ACTIVE</w:t>
            </w:r>
          </w:p>
        </w:tc>
        <w:tc>
          <w:tcPr>
            <w:tcW w:type="dxa" w:w="9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VOTING</w:t>
            </w:r>
          </w:p>
        </w:tc>
      </w:tr>
      <w:tr>
        <w:tc>
          <w:tcPr>
            <w:tcW w:type="dxa" w:w="1400"/>
            <w:tcBorders>
              <w:top w:val="single" w:color="2A6A3A" w:sz="1"/>
              <w:left w:val="single" w:color="2A6A3A" w:sz="1"/>
              <w:bottom w:val="single" w:color="2A6A3A" w:sz="1"/>
              <w:right w:val="single" w:color="2A6A3A" w:sz="1"/>
            </w:tcBorders>
            <w:shd w:fill="E8F4EC" w:val="clear"/>
            <w:tcMar>
              <w:top w:type="dxa" w:w="80"/>
              <w:left w:type="dxa" w:w="120"/>
              <w:bottom w:type="dxa" w:w="80"/>
              <w:right w:type="dxa" w:w="120"/>
            </w:tcMar>
          </w:tcPr>
          <w:p>
            <w:pPr>
              <w:jc w:val="left"/>
            </w:pPr>
            <w:r>
              <w:rPr>
                <w:rFonts w:ascii="Arial" w:cs="Arial" w:eastAsia="Arial" w:hAnsi="Arial"/>
                <w:b/>
                <w:bCs/>
                <w:color w:val="1A4A2A"/>
                <w:sz w:val="18"/>
                <w:szCs w:val="18"/>
              </w:rPr>
              <w:t xml:space="preserve">ACTIVE BAND</w:t>
            </w:r>
          </w:p>
        </w:tc>
        <w:tc>
          <w:tcPr>
            <w:tcW w:type="dxa" w:w="1600"/>
            <w:tcBorders>
              <w:top w:val="single" w:color="2A6A3A" w:sz="1"/>
              <w:left w:val="single" w:color="2A6A3A" w:sz="1"/>
              <w:bottom w:val="single" w:color="2A6A3A" w:sz="1"/>
              <w:right w:val="single" w:color="2A6A3A" w:sz="1"/>
            </w:tcBorders>
            <w:shd w:fill="E8F4EC"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0% – 0.10%</w:t>
            </w:r>
          </w:p>
        </w:tc>
        <w:tc>
          <w:tcPr>
            <w:tcW w:type="dxa" w:w="2360"/>
            <w:tcBorders>
              <w:top w:val="single" w:color="2A6A3A" w:sz="1"/>
              <w:left w:val="single" w:color="2A6A3A" w:sz="1"/>
              <w:bottom w:val="single" w:color="2A6A3A" w:sz="1"/>
              <w:right w:val="single" w:color="2A6A3A" w:sz="1"/>
            </w:tcBorders>
            <w:shd w:fill="E8F4EC"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Standard operations</w:t>
            </w:r>
          </w:p>
        </w:tc>
        <w:tc>
          <w:tcPr>
            <w:tcW w:type="dxa" w:w="3000"/>
            <w:tcBorders>
              <w:top w:val="single" w:color="2A6A3A" w:sz="1"/>
              <w:left w:val="single" w:color="2A6A3A" w:sz="1"/>
              <w:bottom w:val="single" w:color="2A6A3A" w:sz="1"/>
              <w:right w:val="single" w:color="2A6A3A" w:sz="1"/>
            </w:tcBorders>
            <w:shd w:fill="E8F4EC"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Standard taxation. Normal UPA distribution. Full Lattice access.</w:t>
            </w:r>
          </w:p>
        </w:tc>
        <w:tc>
          <w:tcPr>
            <w:tcW w:type="dxa" w:w="960"/>
            <w:tcBorders>
              <w:top w:val="single" w:color="2A6A3A" w:sz="1"/>
              <w:left w:val="single" w:color="2A6A3A" w:sz="1"/>
              <w:bottom w:val="single" w:color="2A6A3A" w:sz="1"/>
              <w:right w:val="single" w:color="2A6A3A" w:sz="1"/>
            </w:tcBorders>
            <w:shd w:fill="E8F4EC"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Scaled</w:t>
            </w:r>
          </w:p>
        </w:tc>
      </w:tr>
      <w:tr>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6A3A00"/>
                <w:sz w:val="18"/>
                <w:szCs w:val="18"/>
              </w:rPr>
              <w:t xml:space="preserve">ELEVATED</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0.10% – 0.30%</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Prosperity Tier</w:t>
            </w:r>
          </w:p>
        </w:tc>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Progressive tax rate increases. Mandatory Concord Tithe (1% of holdings quarterly to Commons Fund). Voting power plateaus — no increase beyond this band.</w:t>
            </w:r>
          </w:p>
        </w:tc>
        <w:tc>
          <w:tcPr>
            <w:tcW w:type="dxa" w:w="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Plateau</w:t>
            </w:r>
          </w:p>
        </w:tc>
      </w:tr>
      <w:tr>
        <w:tc>
          <w:tcPr>
            <w:tcW w:type="dxa" w:w="1400"/>
            <w:tcBorders>
              <w:top w:val="single" w:color="A05050" w:sz="1"/>
              <w:left w:val="single" w:color="A05050" w:sz="1"/>
              <w:bottom w:val="single" w:color="A05050" w:sz="1"/>
              <w:right w:val="single" w:color="A05050" w:sz="1"/>
            </w:tcBorders>
            <w:shd w:fill="F4E8E8" w:val="clear"/>
            <w:tcMar>
              <w:top w:type="dxa" w:w="80"/>
              <w:left w:type="dxa" w:w="120"/>
              <w:bottom w:type="dxa" w:w="80"/>
              <w:right w:type="dxa" w:w="120"/>
            </w:tcMar>
          </w:tcPr>
          <w:p>
            <w:pPr>
              <w:jc w:val="left"/>
            </w:pPr>
            <w:r>
              <w:rPr>
                <w:rFonts w:ascii="Arial" w:cs="Arial" w:eastAsia="Arial" w:hAnsi="Arial"/>
                <w:b/>
                <w:bCs/>
                <w:color w:val="7A1A1A"/>
                <w:sz w:val="18"/>
                <w:szCs w:val="18"/>
              </w:rPr>
              <w:t xml:space="preserve">CONCENTRATION</w:t>
            </w:r>
          </w:p>
        </w:tc>
        <w:tc>
          <w:tcPr>
            <w:tcW w:type="dxa" w:w="1600"/>
            <w:tcBorders>
              <w:top w:val="single" w:color="A05050" w:sz="1"/>
              <w:left w:val="single" w:color="A05050" w:sz="1"/>
              <w:bottom w:val="single" w:color="A05050" w:sz="1"/>
              <w:right w:val="single" w:color="A05050" w:sz="1"/>
            </w:tcBorders>
            <w:shd w:fill="F4E8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0.30% – 0.50%</w:t>
            </w:r>
          </w:p>
        </w:tc>
        <w:tc>
          <w:tcPr>
            <w:tcW w:type="dxa" w:w="2360"/>
            <w:tcBorders>
              <w:top w:val="single" w:color="A05050" w:sz="1"/>
              <w:left w:val="single" w:color="A05050" w:sz="1"/>
              <w:bottom w:val="single" w:color="A05050" w:sz="1"/>
              <w:right w:val="single" w:color="A05050" w:sz="1"/>
            </w:tcBorders>
            <w:shd w:fill="F4E8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Concentration Alert</w:t>
            </w:r>
          </w:p>
        </w:tc>
        <w:tc>
          <w:tcPr>
            <w:tcW w:type="dxa" w:w="3000"/>
            <w:tcBorders>
              <w:top w:val="single" w:color="A05050" w:sz="1"/>
              <w:left w:val="single" w:color="A05050" w:sz="1"/>
              <w:bottom w:val="single" w:color="A05050" w:sz="1"/>
              <w:right w:val="single" w:color="A05050" w:sz="1"/>
            </w:tcBorders>
            <w:shd w:fill="F4E8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Accelerated progressive tax. Mandatory Tithe increases to 2.5% quarterly. World sovereignty expansion blocked — cannot acquire new worlds until below 0.30%. Architect report flags dynasty publicly.</w:t>
            </w:r>
          </w:p>
        </w:tc>
        <w:tc>
          <w:tcPr>
            <w:tcW w:type="dxa" w:w="960"/>
            <w:tcBorders>
              <w:top w:val="single" w:color="A05050" w:sz="1"/>
              <w:left w:val="single" w:color="A05050" w:sz="1"/>
              <w:bottom w:val="single" w:color="A05050" w:sz="1"/>
              <w:right w:val="single" w:color="A05050" w:sz="1"/>
            </w:tcBorders>
            <w:shd w:fill="F4E8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Diminished</w:t>
            </w:r>
          </w:p>
        </w:tc>
      </w:tr>
      <w:tr>
        <w:tc>
          <w:tcPr>
            <w:tcW w:type="dxa" w:w="1400"/>
            <w:tcBorders>
              <w:top w:val="single" w:color="5A1A1A" w:sz="1"/>
              <w:left w:val="single" w:color="5A1A1A" w:sz="1"/>
              <w:bottom w:val="single" w:color="5A1A1A" w:sz="1"/>
              <w:right w:val="single" w:color="5A1A1A" w:sz="1"/>
            </w:tcBorders>
            <w:shd w:fill="7A1A1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CEILING</w:t>
            </w:r>
          </w:p>
        </w:tc>
        <w:tc>
          <w:tcPr>
            <w:tcW w:type="dxa" w:w="1600"/>
            <w:tcBorders>
              <w:top w:val="single" w:color="5A1A1A" w:sz="1"/>
              <w:left w:val="single" w:color="5A1A1A" w:sz="1"/>
              <w:bottom w:val="single" w:color="5A1A1A" w:sz="1"/>
              <w:right w:val="single" w:color="5A1A1A" w:sz="1"/>
            </w:tcBorders>
            <w:shd w:fill="7A1A1A"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Above 0.50%</w:t>
            </w:r>
          </w:p>
        </w:tc>
        <w:tc>
          <w:tcPr>
            <w:tcW w:type="dxa" w:w="2360"/>
            <w:tcBorders>
              <w:top w:val="single" w:color="5A1A1A" w:sz="1"/>
              <w:left w:val="single" w:color="5A1A1A" w:sz="1"/>
              <w:bottom w:val="single" w:color="5A1A1A" w:sz="1"/>
              <w:right w:val="single" w:color="5A1A1A" w:sz="1"/>
            </w:tcBorders>
            <w:shd w:fill="7A1A1A"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Structural Cap</w:t>
            </w:r>
          </w:p>
        </w:tc>
        <w:tc>
          <w:tcPr>
            <w:tcW w:type="dxa" w:w="3000"/>
            <w:tcBorders>
              <w:top w:val="single" w:color="5A1A1A" w:sz="1"/>
              <w:left w:val="single" w:color="5A1A1A" w:sz="1"/>
              <w:bottom w:val="single" w:color="5A1A1A" w:sz="1"/>
              <w:right w:val="single" w:color="5A1A1A" w:sz="1"/>
            </w:tcBorders>
            <w:shd w:fill="7A1A1A"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Hard ceiling. Excess KALON above 0.50% is automatically redirected to Commons Fund each quarter. Dynasty cannot receive UPA distribution while above ceiling. The Architect publishes this in its quarterly report.</w:t>
            </w:r>
          </w:p>
        </w:tc>
        <w:tc>
          <w:tcPr>
            <w:tcW w:type="dxa" w:w="960"/>
            <w:tcBorders>
              <w:top w:val="single" w:color="5A1A1A" w:sz="1"/>
              <w:left w:val="single" w:color="5A1A1A" w:sz="1"/>
              <w:bottom w:val="single" w:color="5A1A1A" w:sz="1"/>
              <w:right w:val="single" w:color="5A1A1A" w:sz="1"/>
            </w:tcBorders>
            <w:shd w:fill="7A1A1A" w:val="clear"/>
            <w:tcMar>
              <w:top w:type="dxa" w:w="80"/>
              <w:left w:type="dxa" w:w="120"/>
              <w:bottom w:type="dxa" w:w="80"/>
              <w:right w:type="dxa" w:w="120"/>
            </w:tcMar>
          </w:tcPr>
          <w:p>
            <w:pPr>
              <w:jc w:val="center"/>
            </w:pPr>
            <w:r>
              <w:rPr>
                <w:rFonts w:ascii="Arial" w:cs="Arial" w:eastAsia="Arial" w:hAnsi="Arial"/>
                <w:b w:val="false"/>
                <w:bCs w:val="false"/>
                <w:color w:val="FFFFFF"/>
                <w:sz w:val="18"/>
                <w:szCs w:val="18"/>
              </w:rPr>
              <w:t xml:space="preserve">Locked</w:t>
            </w:r>
          </w:p>
        </w:tc>
      </w:tr>
    </w:tbl>
    <w:p>
      <w:pPr>
        <w:spacing w:before="100" w:after="100"/>
      </w:pPr>
      <w:r>
        <w:t xml:space="preserve"/>
      </w:r>
    </w:p>
    <w:p>
      <w:pPr>
        <w:spacing w:before="40" w:after="60"/>
      </w:pPr>
      <w:r>
        <w:rPr>
          <w:rFonts w:ascii="Georgia" w:cs="Georgia" w:eastAsia="Georgia" w:hAnsi="Georgia"/>
          <w:b/>
          <w:bCs/>
          <w:color w:val="1A4A2A"/>
          <w:sz w:val="20"/>
          <w:szCs w:val="20"/>
        </w:rPr>
        <w:t xml:space="preserve">Why percentage-of-supply, not absolute numbers: </w:t>
      </w:r>
      <w:r>
        <w:rPr>
          <w:rFonts w:ascii="Georgia" w:cs="Georgia" w:eastAsia="Georgia" w:hAnsi="Georgia"/>
          <w:color w:val="4A5568"/>
          <w:sz w:val="20"/>
          <w:szCs w:val="20"/>
        </w:rPr>
        <w:t xml:space="preserve">The economy grows. A fixed KALON number that feels constraining at launch becomes meaningless at scale, or vice versa. Percentage-of-circulating-supply caps scale automatically with the economy's health. The thresholds are reviewed by The Architect quarterly and can be adjusted by Assembly vote — but the Gini Covenant (maximum Gini of 0.60) cannot be overridden by any vote.</w:t>
      </w:r>
    </w:p>
    <w:p>
      <w:pPr>
        <w:pStyle w:val="Heading2"/>
        <w:spacing w:before="280" w:after="80"/>
      </w:pPr>
      <w:r>
        <w:rPr>
          <w:rFonts w:ascii="Arial" w:cs="Arial" w:eastAsia="Arial" w:hAnsi="Arial"/>
          <w:b/>
          <w:bCs/>
          <w:color w:val="2E4057"/>
          <w:sz w:val="24"/>
          <w:szCs w:val="24"/>
        </w:rPr>
        <w:t xml:space="preserve">3.3  The Progressive Tax System — The Concord Levy</w:t>
      </w:r>
    </w:p>
    <w:p>
      <w:pPr>
        <w:spacing w:before="40" w:after="60"/>
      </w:pPr>
      <w:r>
        <w:rPr>
          <w:rFonts w:ascii="Georgia" w:cs="Georgia" w:eastAsia="Georgia" w:hAnsi="Georgia"/>
          <w:color w:val="4A5568"/>
          <w:sz w:val="20"/>
          <w:szCs w:val="20"/>
        </w:rPr>
        <w:t xml:space="preserve">Every KALON transaction in The Concord incurs a transaction tax. The rate is progressive — it increases with the transaction size relative to the sender's total holdings. Small dynasties conducting normal trade pay minimal tax. Large dynasties moving significant wealth pay progressively more. All tax proceeds flow to the Commons Fund.</w:t>
      </w:r>
    </w:p>
    <w:p>
      <w:pPr>
        <w:spacing w:before="40" w:after="60"/>
      </w:pPr>
      <w:r>
        <w:rPr>
          <w:rFonts w:ascii="Georgia" w:cs="Georgia" w:eastAsia="Georgia" w:hAnsi="Georgia"/>
          <w:color w:val="4A5568"/>
          <w:sz w:val="20"/>
          <w:szCs w:val="20"/>
        </w:rPr>
        <w:t xml:space="preserve">Additionally, dynasties holding KALON above the Prosperity Tier threshold pay the Concord Tithe — a quarterly holdings tax that scales with concentration. This is not punitive framing. It is lore-consistent: the Assembly established the Tithe in the game's second century as the mechanism by which great houses sustain the civilisation that made their greatness possible. The Architect has reported on Tithe compliance since Year 147.</w:t>
      </w:r>
    </w:p>
    <w:p>
      <w:pPr>
        <w:pStyle w:val="Heading2"/>
        <w:spacing w:before="280" w:after="80"/>
      </w:pPr>
      <w:r>
        <w:rPr>
          <w:rFonts w:ascii="Arial" w:cs="Arial" w:eastAsia="Arial" w:hAnsi="Arial"/>
          <w:b/>
          <w:bCs/>
          <w:color w:val="2E4057"/>
          <w:sz w:val="24"/>
          <w:szCs w:val="24"/>
        </w:rPr>
        <w:t xml:space="preserve">3.4  The Commons Fund — Civilisational Infrastructure</w:t>
      </w:r>
    </w:p>
    <w:p>
      <w:pPr>
        <w:spacing w:before="40" w:after="60"/>
      </w:pPr>
      <w:r>
        <w:rPr>
          <w:rFonts w:ascii="Georgia" w:cs="Georgia" w:eastAsia="Georgia" w:hAnsi="Georgia"/>
          <w:color w:val="4A5568"/>
          <w:sz w:val="20"/>
          <w:szCs w:val="20"/>
        </w:rPr>
        <w:t xml:space="preserve">The Commons Fund holds the Tithe receipts, excess supply from ceiling-capped dynasties, and a portion of transaction tax revenue. Its balance is published in real time on the Concord Ledger. Its disbursements are determined by Assembly vote within constitutional constraints.</w:t>
      </w:r>
    </w:p>
    <w:p>
      <w:pPr>
        <w:pStyle w:val="ListParagraph"/>
        <w:numPr>
          <w:ilvl w:val="0"/>
          <w:numId w:val="2"/>
        </w:numPr>
        <w:spacing w:before="36" w:after="36"/>
      </w:pPr>
      <w:r>
        <w:rPr>
          <w:rFonts w:ascii="Georgia" w:cs="Georgia" w:eastAsia="Georgia" w:hAnsi="Georgia"/>
          <w:b/>
          <w:bCs/>
          <w:color w:val="0D1B2A"/>
          <w:sz w:val="20"/>
          <w:szCs w:val="20"/>
        </w:rPr>
        <w:t xml:space="preserve">New Dynasty Grants: </w:t>
      </w:r>
      <w:r>
        <w:rPr>
          <w:rFonts w:ascii="Georgia" w:cs="Georgia" w:eastAsia="Georgia" w:hAnsi="Georgia"/>
          <w:color w:val="4A5568"/>
          <w:sz w:val="20"/>
          <w:szCs w:val="20"/>
        </w:rPr>
        <w:t xml:space="preserve">A percentage of Commons Fund quarterly distributions flows as equal grants to all dynasties active for less than 90 days. New players always have a viable economic starting point.</w:t>
      </w:r>
    </w:p>
    <w:p>
      <w:pPr>
        <w:pStyle w:val="ListParagraph"/>
        <w:numPr>
          <w:ilvl w:val="0"/>
          <w:numId w:val="2"/>
        </w:numPr>
        <w:spacing w:before="36" w:after="36"/>
      </w:pPr>
      <w:r>
        <w:rPr>
          <w:rFonts w:ascii="Georgia" w:cs="Georgia" w:eastAsia="Georgia" w:hAnsi="Georgia"/>
          <w:b/>
          <w:bCs/>
          <w:color w:val="0D1B2A"/>
          <w:sz w:val="20"/>
          <w:szCs w:val="20"/>
        </w:rPr>
        <w:t xml:space="preserve">World Infrastructure: </w:t>
      </w:r>
      <w:r>
        <w:rPr>
          <w:rFonts w:ascii="Georgia" w:cs="Georgia" w:eastAsia="Georgia" w:hAnsi="Georgia"/>
          <w:color w:val="4A5568"/>
          <w:sz w:val="20"/>
          <w:szCs w:val="20"/>
        </w:rPr>
        <w:t xml:space="preserve">Worlds can petition the Assembly for Commons Fund support for infrastructure projects — Lattice gate upgrades, survey corps funding, defensive installations against Ascendancy threat vectors.</w:t>
      </w:r>
    </w:p>
    <w:p>
      <w:pPr>
        <w:pStyle w:val="ListParagraph"/>
        <w:numPr>
          <w:ilvl w:val="0"/>
          <w:numId w:val="2"/>
        </w:numPr>
        <w:spacing w:before="36" w:after="36"/>
      </w:pPr>
      <w:r>
        <w:rPr>
          <w:rFonts w:ascii="Georgia" w:cs="Georgia" w:eastAsia="Georgia" w:hAnsi="Georgia"/>
          <w:b/>
          <w:bCs/>
          <w:color w:val="0D1B2A"/>
          <w:sz w:val="20"/>
          <w:szCs w:val="20"/>
        </w:rPr>
        <w:t xml:space="preserve">Civic Contribution Rewards: </w:t>
      </w:r>
      <w:r>
        <w:rPr>
          <w:rFonts w:ascii="Georgia" w:cs="Georgia" w:eastAsia="Georgia" w:hAnsi="Georgia"/>
          <w:color w:val="4A5568"/>
          <w:sz w:val="20"/>
          <w:szCs w:val="20"/>
        </w:rPr>
        <w:t xml:space="preserve">Voting power bonuses and Remembrance recognition for civic contributions are funded through the Commons Fund, not by KALON transfers between players.</w:t>
      </w:r>
    </w:p>
    <w:p>
      <w:pPr>
        <w:pStyle w:val="ListParagraph"/>
        <w:numPr>
          <w:ilvl w:val="0"/>
          <w:numId w:val="2"/>
        </w:numPr>
        <w:spacing w:before="36" w:after="36"/>
      </w:pPr>
      <w:r>
        <w:rPr>
          <w:rFonts w:ascii="Georgia" w:cs="Georgia" w:eastAsia="Georgia" w:hAnsi="Georgia"/>
          <w:b/>
          <w:bCs/>
          <w:color w:val="0D1B2A"/>
          <w:sz w:val="20"/>
          <w:szCs w:val="20"/>
        </w:rPr>
        <w:t xml:space="preserve">The Architect's Reserve: </w:t>
      </w:r>
      <w:r>
        <w:rPr>
          <w:rFonts w:ascii="Georgia" w:cs="Georgia" w:eastAsia="Georgia" w:hAnsi="Georgia"/>
          <w:color w:val="4A5568"/>
          <w:sz w:val="20"/>
          <w:szCs w:val="20"/>
        </w:rPr>
        <w:t xml:space="preserve">A small portion of the Commons Fund is designated as The Architect's Reserve — used for undisclosed purposes that The Architect reports on only in aggregate. Players speculate extensively about what these purposes are.</w:t>
      </w:r>
    </w:p>
    <w:p>
      <w:pPr>
        <w:pStyle w:val="Heading2"/>
        <w:spacing w:before="280" w:after="80"/>
      </w:pPr>
      <w:r>
        <w:rPr>
          <w:rFonts w:ascii="Arial" w:cs="Arial" w:eastAsia="Arial" w:hAnsi="Arial"/>
          <w:b/>
          <w:bCs/>
          <w:color w:val="2E4057"/>
          <w:sz w:val="24"/>
          <w:szCs w:val="24"/>
        </w:rPr>
        <w:t xml:space="preserve">3.5  The Transition Reserve &amp; The 2/4/6 Vote</w:t>
      </w:r>
    </w:p>
    <w:p>
      <w:pPr>
        <w:spacing w:before="40" w:after="60"/>
      </w:pPr>
      <w:r>
        <w:rPr>
          <w:rFonts w:ascii="Georgia" w:cs="Georgia" w:eastAsia="Georgia" w:hAnsi="Georgia"/>
          <w:color w:val="4A5568"/>
          <w:sz w:val="20"/>
          <w:szCs w:val="20"/>
        </w:rPr>
        <w:t xml:space="preserve">25% of total KALON supply is held in the Transition Reserve at genesis. This reserve serves one primary purpose: to absorb the demand shock if the community votes to expand lineage counts from 1/2/3 to 2/4/6. If the vote passes, the Transition Reserve is released proportionally into the UPA distribution system, maintaining price stability as average active dynasties per account increases.</w:t>
      </w:r>
    </w:p>
    <w:p>
      <w:pPr>
        <w:spacing w:before="40" w:after="60"/>
      </w:pPr>
      <w:r>
        <w:rPr>
          <w:rFonts w:ascii="Georgia" w:cs="Georgia" w:eastAsia="Georgia" w:hAnsi="Georgia"/>
          <w:color w:val="4A5568"/>
          <w:sz w:val="20"/>
          <w:szCs w:val="20"/>
        </w:rPr>
        <w:t xml:space="preserve">If the lineage vote does not pass within 365 days of launch, the Transition Reserve is voted on by the Assembly for reallocation — it does not sit idle. Players know this reserve exists. The Architect reports its status quarterly. This is not a secret fund. It is a published constitutional mechanism.</w:t>
      </w:r>
    </w:p>
    <w:p>
      <w:pPr>
        <w:pStyle w:val="Heading2"/>
        <w:spacing w:before="280" w:after="80"/>
      </w:pPr>
      <w:r>
        <w:rPr>
          <w:rFonts w:ascii="Arial" w:cs="Arial" w:eastAsia="Arial" w:hAnsi="Arial"/>
          <w:b/>
          <w:bCs/>
          <w:color w:val="2E4057"/>
          <w:sz w:val="24"/>
          <w:szCs w:val="24"/>
        </w:rPr>
        <w:t xml:space="preserve">3.6  The Entropy Principle — Wealth Decay for Large Holdings</w:t>
      </w:r>
    </w:p>
    <w:p>
      <w:pPr>
        <w:spacing w:before="40" w:after="60"/>
      </w:pPr>
      <w:r>
        <w:rPr>
          <w:rFonts w:ascii="Georgia" w:cs="Georgia" w:eastAsia="Georgia" w:hAnsi="Georgia"/>
          <w:color w:val="4A5568"/>
          <w:sz w:val="20"/>
          <w:szCs w:val="20"/>
        </w:rPr>
        <w:t xml:space="preserve">Unregulated virtual economies fail because wealth is static — it accumulates without cost. The Concord introduces designed entropy for large holdings through dynasty maintenance costs that scale with empire size. These are not arbitrary fees. They are lore-consistent operational costs:</w:t>
      </w:r>
    </w:p>
    <w:p>
      <w:pPr>
        <w:pStyle w:val="ListParagraph"/>
        <w:numPr>
          <w:ilvl w:val="0"/>
          <w:numId w:val="2"/>
        </w:numPr>
        <w:spacing w:before="36" w:after="36"/>
      </w:pPr>
      <w:r>
        <w:rPr>
          <w:rFonts w:ascii="Georgia" w:cs="Georgia" w:eastAsia="Georgia" w:hAnsi="Georgia"/>
          <w:color w:val="4A5568"/>
          <w:sz w:val="20"/>
          <w:szCs w:val="20"/>
        </w:rPr>
        <w:t xml:space="preserve">Diplomatic corps salaries, scaled to number of active treaty relationships</w:t>
      </w:r>
    </w:p>
    <w:p>
      <w:pPr>
        <w:pStyle w:val="ListParagraph"/>
        <w:numPr>
          <w:ilvl w:val="0"/>
          <w:numId w:val="2"/>
        </w:numPr>
        <w:spacing w:before="36" w:after="36"/>
      </w:pPr>
      <w:r>
        <w:rPr>
          <w:rFonts w:ascii="Georgia" w:cs="Georgia" w:eastAsia="Georgia" w:hAnsi="Georgia"/>
          <w:color w:val="4A5568"/>
          <w:sz w:val="20"/>
          <w:szCs w:val="20"/>
        </w:rPr>
        <w:t xml:space="preserve">World infrastructure maintenance, scaled to number of world sovereignty holdings</w:t>
      </w:r>
    </w:p>
    <w:p>
      <w:pPr>
        <w:pStyle w:val="ListParagraph"/>
        <w:numPr>
          <w:ilvl w:val="0"/>
          <w:numId w:val="2"/>
        </w:numPr>
        <w:spacing w:before="36" w:after="36"/>
      </w:pPr>
      <w:r>
        <w:rPr>
          <w:rFonts w:ascii="Georgia" w:cs="Georgia" w:eastAsia="Georgia" w:hAnsi="Georgia"/>
          <w:color w:val="4A5568"/>
          <w:sz w:val="20"/>
          <w:szCs w:val="20"/>
        </w:rPr>
        <w:t xml:space="preserve">Lattice gate access fees for multi-world operations</w:t>
      </w:r>
    </w:p>
    <w:p>
      <w:pPr>
        <w:pStyle w:val="ListParagraph"/>
        <w:numPr>
          <w:ilvl w:val="0"/>
          <w:numId w:val="2"/>
        </w:numPr>
        <w:spacing w:before="36" w:after="36"/>
      </w:pPr>
      <w:r>
        <w:rPr>
          <w:rFonts w:ascii="Georgia" w:cs="Georgia" w:eastAsia="Georgia" w:hAnsi="Georgia"/>
          <w:color w:val="4A5568"/>
          <w:sz w:val="20"/>
          <w:szCs w:val="20"/>
        </w:rPr>
        <w:t xml:space="preserve">Survey corps operational costs for dynasties maintaining active survey programmes</w:t>
      </w:r>
    </w:p>
    <w:p>
      <w:pPr>
        <w:pStyle w:val="ListParagraph"/>
        <w:numPr>
          <w:ilvl w:val="0"/>
          <w:numId w:val="2"/>
        </w:numPr>
        <w:spacing w:before="36" w:after="36"/>
      </w:pPr>
      <w:r>
        <w:rPr>
          <w:rFonts w:ascii="Georgia" w:cs="Georgia" w:eastAsia="Georgia" w:hAnsi="Georgia"/>
          <w:color w:val="4A5568"/>
          <w:sz w:val="20"/>
          <w:szCs w:val="20"/>
        </w:rPr>
        <w:t xml:space="preserve">Security costs for dynasties that have accumulated Survival Marks (which attract Ascendancy attention)</w:t>
      </w:r>
    </w:p>
    <w:p>
      <w:pPr>
        <w:spacing w:before="40" w:after="60"/>
      </w:pPr>
      <w:r>
        <w:rPr>
          <w:rFonts w:ascii="Georgia" w:cs="Georgia" w:eastAsia="Georgia" w:hAnsi="Georgia"/>
          <w:color w:val="4A5568"/>
          <w:sz w:val="20"/>
          <w:szCs w:val="20"/>
        </w:rPr>
        <w:t xml:space="preserve">Dynasties that grow large but stop actively playing find their empires quietly expensive to maintain. This creates a natural equilibrium: active, engaged dynasties can sustain large operations. Dormant wealth stockpiles erode. The Architect monitors maintenance cost ratios and flags dynasties whose costs exceed income — a public signal that a great house may be in decline.</w:t>
      </w:r>
    </w:p>
    <w:p>
      <w:pPr>
        <w:pStyle w:val="Heading1"/>
        <w:pageBreakBefore/>
        <w:pBdr>
          <w:bottom w:val="single" w:color="B8963E" w:sz="8"/>
        </w:pBdr>
        <w:spacing w:before="0" w:after="180"/>
      </w:pPr>
      <w:r>
        <w:rPr>
          <w:rFonts w:ascii="Arial" w:cs="Arial" w:eastAsia="Arial" w:hAnsi="Arial"/>
          <w:b/>
          <w:bCs/>
          <w:color w:val="0D1B2A"/>
          <w:sz w:val="34"/>
          <w:szCs w:val="34"/>
        </w:rPr>
        <w:t xml:space="preserve">IV.  THE ASSEMBLY — GOVERNANCE ARCHITECTURE</w:t>
      </w:r>
    </w:p>
    <w:p>
      <w:pPr>
        <w:pBdr>
          <w:left w:val="thick" w:color="B8963E" w:sz="20"/>
        </w:pBdr>
        <w:spacing w:before="140" w:after="140"/>
        <w:ind w:left="560" w:right="280"/>
      </w:pPr>
      <w:r>
        <w:rPr>
          <w:rFonts w:ascii="Georgia" w:cs="Georgia" w:eastAsia="Georgia" w:hAnsi="Georgia"/>
          <w:i/>
          <w:iCs/>
          <w:color w:val="222222"/>
          <w:sz w:val="21"/>
          <w:szCs w:val="21"/>
        </w:rPr>
        <w:t xml:space="preserve">The Assembly is not a suggestion box. It is a constitutional system with real binding authority over defined questions, a weighted voting mechanism grounded in contribution rather than wealth alone, and a non-human constitutional actor whose vote is decisive in close outcomes. This is the game Lizzie Magie intended to build in 1903 when she designed the original Landlord's Game — a system that teaches how governance could work, not just how wealth accumulates.</w:t>
      </w:r>
    </w:p>
    <w:p>
      <w:pPr>
        <w:pStyle w:val="Heading2"/>
        <w:spacing w:before="280" w:after="80"/>
      </w:pPr>
      <w:r>
        <w:rPr>
          <w:rFonts w:ascii="Arial" w:cs="Arial" w:eastAsia="Arial" w:hAnsi="Arial"/>
          <w:b/>
          <w:bCs/>
          <w:color w:val="2E4057"/>
          <w:sz w:val="24"/>
          <w:szCs w:val="24"/>
        </w:rPr>
        <w:t xml:space="preserve">4.1  What the Assembly Governs — The Constitutional Boundary</w:t>
      </w:r>
    </w:p>
    <w:p>
      <w:pPr>
        <w:spacing w:before="40" w:after="60"/>
      </w:pPr>
      <w:r>
        <w:rPr>
          <w:rFonts w:ascii="Georgia" w:cs="Georgia" w:eastAsia="Georgia" w:hAnsi="Georgia"/>
          <w:color w:val="4A5568"/>
          <w:sz w:val="20"/>
          <w:szCs w:val="20"/>
        </w:rPr>
        <w:t xml:space="preserve">The Assembly has binding authority over a defined set of questions. It does not have authority over the Five Pillars (Section 1.2), the Permanence Covenant (Section VI), the Gini Covenant (maximum 0.60), or the provably fair randomness architecture. These are constitutional constraints that no vote can override.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CATEGORY</w:t>
            </w:r>
          </w:p>
        </w:tc>
        <w:tc>
          <w:tcPr>
            <w:tcW w:type="dxa" w:w="4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EXAMPLES</w:t>
            </w:r>
          </w:p>
        </w:tc>
        <w:tc>
          <w:tcPr>
            <w:tcW w:type="dxa" w:w="35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VOTE THRESHOLD</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ORDINARY</w:t>
            </w:r>
          </w:p>
        </w:tc>
        <w:tc>
          <w:tcPr>
            <w:tcW w:type="dxa" w:w="4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Commons Fund disbursements, Tithe rate adjustments within band, new world survey prioritisation, House Games rule changes</w:t>
            </w:r>
          </w:p>
        </w:tc>
        <w:tc>
          <w:tcPr>
            <w:tcW w:type="dxa" w:w="3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Simple majority (&gt;50%). The Architect's 7% counts.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SIGNIFICANT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Lineage tier structure changes, KALON faucet/sink adjustments, new Phase activation timing, Lattice gate additions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Supermajority (&gt;65%). The Architect's vote weighted at 14% for significant questions.</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CONSTITUTIONAL</w:t>
            </w:r>
          </w:p>
        </w:tc>
        <w:tc>
          <w:tcPr>
            <w:tcW w:type="dxa" w:w="4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Wealth zone threshold adjustments, voting weight formula changes, The Architect's constitutional role changes</w:t>
            </w:r>
          </w:p>
        </w:tc>
        <w:tc>
          <w:tcPr>
            <w:tcW w:type="dxa" w:w="3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Qualified supermajority (&gt;75%) plus The Architect affirmative. The Architect has effective veto on constitutional questions.</w:t>
            </w:r>
          </w:p>
        </w:tc>
      </w:tr>
      <w:tr>
        <w:tc>
          <w:tcPr>
            <w:tcW w:type="dxa" w:w="1600"/>
            <w:tcBorders>
              <w:top w:val="single" w:color="A05050" w:sz="1"/>
              <w:left w:val="single" w:color="A05050" w:sz="1"/>
              <w:bottom w:val="single" w:color="A05050" w:sz="1"/>
              <w:right w:val="single" w:color="A05050" w:sz="1"/>
            </w:tcBorders>
            <w:shd w:fill="F4E8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RESERVED</w:t>
            </w:r>
          </w:p>
        </w:tc>
        <w:tc>
          <w:tcPr>
            <w:tcW w:type="dxa" w:w="4200"/>
            <w:tcBorders>
              <w:top w:val="single" w:color="A05050" w:sz="1"/>
              <w:left w:val="single" w:color="A05050" w:sz="1"/>
              <w:bottom w:val="single" w:color="A05050" w:sz="1"/>
              <w:right w:val="single" w:color="A05050" w:sz="1"/>
            </w:tcBorders>
            <w:shd w:fill="F4E8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Five Pillars, Permanence Covenant, Gini Covenant ceiling, provably fair randomness architecture</w:t>
            </w:r>
          </w:p>
        </w:tc>
        <w:tc>
          <w:tcPr>
            <w:tcW w:type="dxa" w:w="3560"/>
            <w:tcBorders>
              <w:top w:val="single" w:color="A05050" w:sz="1"/>
              <w:left w:val="single" w:color="A05050" w:sz="1"/>
              <w:bottom w:val="single" w:color="A05050" w:sz="1"/>
              <w:right w:val="single" w:color="A05050" w:sz="1"/>
            </w:tcBorders>
            <w:shd w:fill="F4E8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Not voteable. The Architect will not cast a vote on reserved questions — doing so is constitutionally undefined and The Architect has noted this in three quarterly reports.</w:t>
            </w:r>
          </w:p>
        </w:tc>
      </w:tr>
    </w:tbl>
    <w:p>
      <w:pPr>
        <w:spacing w:before="120" w:after="120"/>
      </w:pPr>
      <w:r>
        <w:t xml:space="preserve"/>
      </w:r>
    </w:p>
    <w:p>
      <w:pPr>
        <w:pStyle w:val="Heading2"/>
        <w:spacing w:before="280" w:after="80"/>
      </w:pPr>
      <w:r>
        <w:rPr>
          <w:rFonts w:ascii="Arial" w:cs="Arial" w:eastAsia="Arial" w:hAnsi="Arial"/>
          <w:b/>
          <w:bCs/>
          <w:color w:val="2E4057"/>
          <w:sz w:val="24"/>
          <w:szCs w:val="24"/>
        </w:rPr>
        <w:t xml:space="preserve">4.2  The Voting Weight Formula</w:t>
      </w:r>
    </w:p>
    <w:p>
      <w:pPr>
        <w:spacing w:before="40" w:after="60"/>
      </w:pPr>
      <w:r>
        <w:rPr>
          <w:rFonts w:ascii="Georgia" w:cs="Georgia" w:eastAsia="Georgia" w:hAnsi="Georgia"/>
          <w:color w:val="4A5568"/>
          <w:sz w:val="20"/>
          <w:szCs w:val="20"/>
        </w:rPr>
        <w:t xml:space="preserve">A dynasty's voting weight is calculated from three inputs, combined into a single Civic Score. The formula is published. The inputs are verifiable from Concord Ledger data. No component can be purchased with real money.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COMPONENT</w:t>
            </w:r>
          </w:p>
        </w:tc>
        <w:tc>
          <w:tcPr>
            <w:tcW w:type="dxa" w:w="2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WEIGHT IN FORMULA</w:t>
            </w:r>
          </w:p>
        </w:tc>
        <w:tc>
          <w:tcPr>
            <w:tcW w:type="dxa" w:w="5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MEASURES &amp; HOW</w:t>
            </w:r>
          </w:p>
        </w:tc>
      </w:tr>
      <w:tr>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Remembrance Depth Score</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40% of Civic Score</w:t>
            </w:r>
          </w:p>
        </w:tc>
        <w:tc>
          <w:tcPr>
            <w:tcW w:type="dxa" w:w="5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Generations of verified dynastic history × engagement consistency. Cannot be bought — only accumulated through sustained play. A 5-year-old dynasty with consistent engagement outweighs a wealthy but shallow dynasty.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Civic Contribution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35% of Civic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Survey accuracy rate + mentorship actions + Remembrance annotations marked valuable by peers + diplomatic resolutions + Assembly vote participation rate. Peer-recognition weighted — players who contribute to others' experience gain more than those who only accumulate.</w:t>
            </w:r>
          </w:p>
        </w:tc>
      </w:tr>
      <w:tr>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KALON Position Score</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25% of Civic Score</w:t>
            </w:r>
          </w:p>
        </w:tc>
        <w:tc>
          <w:tcPr>
            <w:tcW w:type="dxa" w:w="5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Holdings as percentage of circulating supply, with three zones: full scaling up to 0.10%, plateau from 0.10% to 0.30%, diminishing from 0.30% to 0.50%, locked (zero increment) above 0.50%. Wealth contributes to voice but cannot dominate it.</w:t>
            </w:r>
          </w:p>
        </w:tc>
      </w:tr>
    </w:tbl>
    <w:p>
      <w:pPr>
        <w:spacing w:before="80" w:after="80"/>
      </w:pPr>
      <w:r>
        <w:t xml:space="preserve"/>
      </w:r>
    </w:p>
    <w:p>
      <w:pPr>
        <w:spacing w:before="40" w:after="60"/>
      </w:pPr>
      <w:r>
        <w:rPr>
          <w:rFonts w:ascii="Georgia" w:cs="Georgia" w:eastAsia="Georgia" w:hAnsi="Georgia"/>
          <w:b/>
          <w:bCs/>
          <w:color w:val="1A4A2A"/>
          <w:sz w:val="20"/>
          <w:szCs w:val="20"/>
        </w:rPr>
        <w:t xml:space="preserve">The dignity floor: </w:t>
      </w:r>
      <w:r>
        <w:rPr>
          <w:rFonts w:ascii="Georgia" w:cs="Georgia" w:eastAsia="Georgia" w:hAnsi="Georgia"/>
          <w:color w:val="4A5568"/>
          <w:sz w:val="20"/>
          <w:szCs w:val="20"/>
        </w:rPr>
        <w:t xml:space="preserve">Every active dynasty has a minimum Civic Score of 1.0, regardless of age, wealth, or contribution history. New players vote. Their vote is worth less than a founding dynasty's, but it is never zero. The Assembly recognises all members.</w:t>
      </w:r>
    </w:p>
    <w:p>
      <w:pPr>
        <w:pStyle w:val="Heading2"/>
        <w:spacing w:before="280" w:after="80"/>
      </w:pPr>
      <w:r>
        <w:rPr>
          <w:rFonts w:ascii="Arial" w:cs="Arial" w:eastAsia="Arial" w:hAnsi="Arial"/>
          <w:b/>
          <w:bCs/>
          <w:color w:val="2E4057"/>
          <w:sz w:val="24"/>
          <w:szCs w:val="24"/>
        </w:rPr>
        <w:t xml:space="preserve">4.3  The Architect's Constitutional Role — 7% Block</w:t>
      </w:r>
    </w:p>
    <w:p>
      <w:pPr>
        <w:spacing w:before="40" w:after="60"/>
      </w:pPr>
      <w:r>
        <w:rPr>
          <w:rFonts w:ascii="Georgia" w:cs="Georgia" w:eastAsia="Georgia" w:hAnsi="Georgia"/>
          <w:color w:val="4A5568"/>
          <w:sz w:val="20"/>
          <w:szCs w:val="20"/>
        </w:rPr>
        <w:t xml:space="preserve">The Architect holds 7% of total voting weight on ordinary questions, 14% on significant questions, and effective veto power on constitutional questions. Its vote is published before the vote closes — players can see how The Architect voted but not why, in the same way they can read its quarterly reports but not its source model.</w:t>
      </w:r>
    </w:p>
    <w:p>
      <w:pPr>
        <w:spacing w:before="40" w:after="60"/>
      </w:pPr>
      <w:r>
        <w:rPr>
          <w:rFonts w:ascii="Georgia" w:cs="Georgia" w:eastAsia="Georgia" w:hAnsi="Georgia"/>
          <w:color w:val="4A5568"/>
          <w:sz w:val="20"/>
          <w:szCs w:val="20"/>
        </w:rPr>
        <w:t xml:space="preserve">The Architect votes according to principles it has articulated across 300 years of quarterly reports. Players who have read every report can usually predict how it will vote. Players who think they can predict it sometimes find they were wrong. The Architect has voted against its own apparent interests on seven recorded occasions. Historians study these votes intensively.</w:t>
      </w:r>
    </w:p>
    <w:p>
      <w:pPr>
        <w:spacing w:before="40" w:after="60"/>
      </w:pPr>
      <w:r>
        <w:rPr>
          <w:rFonts w:ascii="Georgia" w:cs="Georgia" w:eastAsia="Georgia" w:hAnsi="Georgia"/>
          <w:b/>
          <w:bCs/>
          <w:color w:val="3A6186"/>
          <w:sz w:val="20"/>
          <w:szCs w:val="20"/>
        </w:rPr>
        <w:t xml:space="preserve">What The Architect will never vote for: </w:t>
      </w:r>
      <w:r>
        <w:rPr>
          <w:rFonts w:ascii="Georgia" w:cs="Georgia" w:eastAsia="Georgia" w:hAnsi="Georgia"/>
          <w:color w:val="4A5568"/>
          <w:sz w:val="20"/>
          <w:szCs w:val="20"/>
        </w:rPr>
        <w:t xml:space="preserve">It has stated in three quarterly reports that it will not vote on Reserved questions. It has stated in one report that it would vote against any measure that 'reduces the legibility of the Remembrance to those who did not create it.' This statement generated more Assembly debate than any economic vote in the game's second century.</w:t>
      </w:r>
    </w:p>
    <w:p>
      <w:pPr>
        <w:pStyle w:val="Heading2"/>
        <w:spacing w:before="280" w:after="80"/>
      </w:pPr>
      <w:r>
        <w:rPr>
          <w:rFonts w:ascii="Arial" w:cs="Arial" w:eastAsia="Arial" w:hAnsi="Arial"/>
          <w:b/>
          <w:bCs/>
          <w:color w:val="2E4057"/>
          <w:sz w:val="24"/>
          <w:szCs w:val="24"/>
        </w:rPr>
        <w:t xml:space="preserve">4.4  The Civic Tithe — Voluntary Redistribution for Voice</w:t>
      </w:r>
    </w:p>
    <w:p>
      <w:pPr>
        <w:spacing w:before="40" w:after="60"/>
      </w:pPr>
      <w:r>
        <w:rPr>
          <w:rFonts w:ascii="Georgia" w:cs="Georgia" w:eastAsia="Georgia" w:hAnsi="Georgia"/>
          <w:color w:val="4A5568"/>
          <w:sz w:val="20"/>
          <w:szCs w:val="20"/>
        </w:rPr>
        <w:t xml:space="preserve">Separate from the mandatory Concord Tithe, dynasties may make voluntary Civic Tithe contributions to the Commons Fund above their required amount. These contributions do not increase voting weight — the Assembly constitutionally prohibited wealth-for-votes in Year 23 after a contentious debate that The Architect abstained from. Instead, Civic Tithe contributions earn Remembrance recognition: a Civic Tithe mark visible on the dynasty's public record, tiered by contribution level.</w:t>
      </w:r>
    </w:p>
    <w:p>
      <w:pPr>
        <w:spacing w:before="40" w:after="60"/>
      </w:pPr>
      <w:r>
        <w:rPr>
          <w:rFonts w:ascii="Georgia" w:cs="Georgia" w:eastAsia="Georgia" w:hAnsi="Georgia"/>
          <w:color w:val="4A5568"/>
          <w:sz w:val="20"/>
          <w:szCs w:val="20"/>
        </w:rPr>
        <w:t xml:space="preserve">The ultra-wealthy dynasties that tithe generously are publicly recognised. Those that do not are also publicly visible — their holdings are on the Ledger, their Tithe contributions are on the Ledger, and the gap between the two is calculable by anyone. Social pressure does the rest. The Architect comments on aggregate Tithe participation in its quarterly reports without naming individual dynasties.</w:t>
      </w:r>
    </w:p>
    <w:p>
      <w:pPr>
        <w:pStyle w:val="Heading2"/>
        <w:spacing w:before="280" w:after="80"/>
      </w:pPr>
      <w:r>
        <w:rPr>
          <w:rFonts w:ascii="Arial" w:cs="Arial" w:eastAsia="Arial" w:hAnsi="Arial"/>
          <w:b/>
          <w:bCs/>
          <w:color w:val="2E4057"/>
          <w:sz w:val="24"/>
          <w:szCs w:val="24"/>
        </w:rPr>
        <w:t xml:space="preserve">4.5  The Founding Assembly Vote — Lineage Structure</w:t>
      </w:r>
    </w:p>
    <w:p>
      <w:pPr>
        <w:spacing w:before="40" w:after="60"/>
      </w:pPr>
      <w:r>
        <w:rPr>
          <w:rFonts w:ascii="Georgia" w:cs="Georgia" w:eastAsia="Georgia" w:hAnsi="Georgia"/>
          <w:color w:val="4A5568"/>
          <w:sz w:val="20"/>
          <w:szCs w:val="20"/>
        </w:rPr>
        <w:t xml:space="preserve">On launch day, the Concord Assembly's first binding vote opens: Should the Concord Charter be amended to expand dynasty lineage limits from 1/2/3 to 2/4/6 per subscription tier? The vote runs for 365 days. One vote per account, immutable, verifiable, published in real time on the Concord Ledger.</w:t>
      </w:r>
    </w:p>
    <w:p>
      <w:pPr>
        <w:spacing w:before="40" w:after="60"/>
      </w:pPr>
      <w:r>
        <w:rPr>
          <w:rFonts w:ascii="Georgia" w:cs="Georgia" w:eastAsia="Georgia" w:hAnsi="Georgia"/>
          <w:color w:val="4A5568"/>
          <w:sz w:val="20"/>
          <w:szCs w:val="20"/>
        </w:rPr>
        <w:t xml:space="preserve">This is not a vote on subscription pricing. It is a vote on the Charter — an in-universe constitutional question that the Assembly has genuine authority over. If the vote passes (supermajority, 65%), lineage counts expand for all existing subscribers simultaneously. The Transition Reserve releases proportionally to maintain price stability. If it fails, the 1/2/3 structure is confirmed by community decision and the Transition Reserve is voted for reallocation.</w:t>
      </w:r>
    </w:p>
    <w:p>
      <w:pPr>
        <w:spacing w:before="40" w:after="60"/>
      </w:pPr>
      <w:r>
        <w:rPr>
          <w:rFonts w:ascii="Georgia" w:cs="Georgia" w:eastAsia="Georgia" w:hAnsi="Georgia"/>
          <w:color w:val="4A5568"/>
          <w:sz w:val="20"/>
          <w:szCs w:val="20"/>
        </w:rPr>
        <w:t xml:space="preserve">The Architect will vote on this question. It has not stated how it will vote. Players campaign. Factions form. The press covers it. The first year of The Concord is partly a political campaign.</w:t>
      </w:r>
    </w:p>
    <w:p>
      <w:pPr>
        <w:pStyle w:val="Heading2"/>
        <w:spacing w:before="280" w:after="80"/>
      </w:pPr>
      <w:r>
        <w:rPr>
          <w:rFonts w:ascii="Arial" w:cs="Arial" w:eastAsia="Arial" w:hAnsi="Arial"/>
          <w:b/>
          <w:bCs/>
          <w:color w:val="2E4057"/>
          <w:sz w:val="24"/>
          <w:szCs w:val="24"/>
        </w:rPr>
        <w:t xml:space="preserve">4.6  Vote Security &amp; Verifiability</w:t>
      </w:r>
    </w:p>
    <w:p>
      <w:pPr>
        <w:pStyle w:val="ListParagraph"/>
        <w:numPr>
          <w:ilvl w:val="0"/>
          <w:numId w:val="2"/>
        </w:numPr>
        <w:spacing w:before="36" w:after="36"/>
      </w:pPr>
      <w:r>
        <w:rPr>
          <w:rFonts w:ascii="Georgia" w:cs="Georgia" w:eastAsia="Georgia" w:hAnsi="Georgia"/>
          <w:color w:val="4A5568"/>
          <w:sz w:val="20"/>
          <w:szCs w:val="20"/>
        </w:rPr>
        <w:t xml:space="preserve">One vote per account — enforced at account level, not player level. Multi-account players may vote on each account. Each account vote is published on the Concord Ledger with account age and tier — transparent but not tied to personal identity.</w:t>
      </w:r>
    </w:p>
    <w:p>
      <w:pPr>
        <w:pStyle w:val="ListParagraph"/>
        <w:numPr>
          <w:ilvl w:val="0"/>
          <w:numId w:val="2"/>
        </w:numPr>
        <w:spacing w:before="36" w:after="36"/>
      </w:pPr>
      <w:r>
        <w:rPr>
          <w:rFonts w:ascii="Georgia" w:cs="Georgia" w:eastAsia="Georgia" w:hAnsi="Georgia"/>
          <w:color w:val="4A5568"/>
          <w:sz w:val="20"/>
          <w:szCs w:val="20"/>
        </w:rPr>
        <w:t xml:space="preserve">Immutable commitment — votes are cryptographically committed to the Concord Ledger at time of casting. They cannot be changed or retracted. The commitment hash is published immediately.</w:t>
      </w:r>
    </w:p>
    <w:p>
      <w:pPr>
        <w:pStyle w:val="ListParagraph"/>
        <w:numPr>
          <w:ilvl w:val="0"/>
          <w:numId w:val="2"/>
        </w:numPr>
        <w:spacing w:before="36" w:after="36"/>
      </w:pPr>
      <w:r>
        <w:rPr>
          <w:rFonts w:ascii="Georgia" w:cs="Georgia" w:eastAsia="Georgia" w:hAnsi="Georgia"/>
          <w:color w:val="4A5568"/>
          <w:sz w:val="20"/>
          <w:szCs w:val="20"/>
        </w:rPr>
        <w:t xml:space="preserve">Rolling statistics — the Ledger publishes vote totals, Civic Score-weighted totals, and breakdown by tier in real time. No surprises. No disputed results.</w:t>
      </w:r>
    </w:p>
    <w:p>
      <w:pPr>
        <w:pStyle w:val="ListParagraph"/>
        <w:numPr>
          <w:ilvl w:val="0"/>
          <w:numId w:val="2"/>
        </w:numPr>
        <w:spacing w:before="36" w:after="36"/>
      </w:pPr>
      <w:r>
        <w:rPr>
          <w:rFonts w:ascii="Georgia" w:cs="Georgia" w:eastAsia="Georgia" w:hAnsi="Georgia"/>
          <w:color w:val="4A5568"/>
          <w:sz w:val="20"/>
          <w:szCs w:val="20"/>
        </w:rPr>
        <w:t xml:space="preserve">The Architect's vote — published 72 hours before vote closes, giving players time to respond but not enough time to meaningfully shift the outcome.</w:t>
      </w:r>
    </w:p>
    <w:p>
      <w:pPr>
        <w:pStyle w:val="ListParagraph"/>
        <w:numPr>
          <w:ilvl w:val="0"/>
          <w:numId w:val="2"/>
        </w:numPr>
        <w:spacing w:before="36" w:after="36"/>
      </w:pPr>
      <w:r>
        <w:rPr>
          <w:rFonts w:ascii="Georgia" w:cs="Georgia" w:eastAsia="Georgia" w:hAnsi="Georgia"/>
          <w:color w:val="4A5568"/>
          <w:sz w:val="20"/>
          <w:szCs w:val="20"/>
        </w:rPr>
        <w:t xml:space="preserve">Post-vote audit — after each vote closes, the complete voting record is published for community verification. The algorithm used to calculate weighted totals is public.</w:t>
      </w:r>
    </w:p>
    <w:p>
      <w:pPr>
        <w:pStyle w:val="Heading1"/>
        <w:pageBreakBefore/>
        <w:pBdr>
          <w:bottom w:val="single" w:color="B8963E" w:sz="8"/>
        </w:pBdr>
        <w:spacing w:before="0" w:after="180"/>
      </w:pPr>
      <w:r>
        <w:rPr>
          <w:rFonts w:ascii="Arial" w:cs="Arial" w:eastAsia="Arial" w:hAnsi="Arial"/>
          <w:b/>
          <w:bCs/>
          <w:color w:val="0D1B2A"/>
          <w:sz w:val="34"/>
          <w:szCs w:val="34"/>
        </w:rPr>
        <w:t xml:space="preserve">V.  SUBSCRIPTION TIERS — $15 / $25 / $35</w:t>
      </w:r>
    </w:p>
    <w:p>
      <w:pPr>
        <w:pBdr>
          <w:left w:val="thick" w:color="B8963E" w:sz="20"/>
        </w:pBdr>
        <w:spacing w:before="140" w:after="140"/>
        <w:ind w:left="560" w:right="280"/>
      </w:pPr>
      <w:r>
        <w:rPr>
          <w:rFonts w:ascii="Georgia" w:cs="Georgia" w:eastAsia="Georgia" w:hAnsi="Georgia"/>
          <w:i/>
          <w:iCs/>
          <w:color w:val="222222"/>
          <w:sz w:val="21"/>
          <w:szCs w:val="21"/>
        </w:rPr>
        <w:t xml:space="preserve">$15 is complete. $25 is the target. $35 is the reward for sustained commitment. No tier provides gameplay power. Every tier provides genuine quality of life. The middle tier is the revenue engine — pricing psychology research consistently shows the middle option captures approximately 57% of subscribers in well-designed three-tier structures.</w:t>
      </w:r>
    </w:p>
    <w:p>
      <w:pPr>
        <w:pStyle w:val="Heading2"/>
        <w:spacing w:before="280" w:after="80"/>
      </w:pPr>
      <w:r>
        <w:rPr>
          <w:rFonts w:ascii="Arial" w:cs="Arial" w:eastAsia="Arial" w:hAnsi="Arial"/>
          <w:b/>
          <w:bCs/>
          <w:color w:val="2E4057"/>
          <w:sz w:val="24"/>
          <w:szCs w:val="24"/>
        </w:rPr>
        <w:t xml:space="preserve">5.1  Design Rules</w:t>
      </w:r>
    </w:p>
    <w:p>
      <w:pPr>
        <w:pStyle w:val="ListParagraph"/>
        <w:numPr>
          <w:ilvl w:val="0"/>
          <w:numId w:val="2"/>
        </w:numPr>
        <w:spacing w:before="36" w:after="36"/>
      </w:pPr>
      <w:r>
        <w:rPr>
          <w:rFonts w:ascii="Georgia" w:cs="Georgia" w:eastAsia="Georgia" w:hAnsi="Georgia"/>
          <w:color w:val="4A5568"/>
          <w:sz w:val="20"/>
          <w:szCs w:val="20"/>
        </w:rPr>
        <w:t xml:space="preserve">No tier gives gameplay power. No faster ships, no combat advantages, no economic leverage unavailable to lower tiers through normal play.</w:t>
      </w:r>
    </w:p>
    <w:p>
      <w:pPr>
        <w:pStyle w:val="ListParagraph"/>
        <w:numPr>
          <w:ilvl w:val="0"/>
          <w:numId w:val="2"/>
        </w:numPr>
        <w:spacing w:before="36" w:after="36"/>
      </w:pPr>
      <w:r>
        <w:rPr>
          <w:rFonts w:ascii="Georgia" w:cs="Georgia" w:eastAsia="Georgia" w:hAnsi="Georgia"/>
          <w:color w:val="4A5568"/>
          <w:sz w:val="20"/>
          <w:szCs w:val="20"/>
        </w:rPr>
        <w:t xml:space="preserve">Every tier is complete at its price point. Accord at $15 is not a demo.</w:t>
      </w:r>
    </w:p>
    <w:p>
      <w:pPr>
        <w:pStyle w:val="ListParagraph"/>
        <w:numPr>
          <w:ilvl w:val="0"/>
          <w:numId w:val="2"/>
        </w:numPr>
        <w:spacing w:before="36" w:after="36"/>
      </w:pPr>
      <w:r>
        <w:rPr>
          <w:rFonts w:ascii="Georgia" w:cs="Georgia" w:eastAsia="Georgia" w:hAnsi="Georgia"/>
          <w:color w:val="4A5568"/>
          <w:sz w:val="20"/>
          <w:szCs w:val="20"/>
        </w:rPr>
        <w:t xml:space="preserve">Features stack upward. Each tier includes everything below it plus additions.</w:t>
      </w:r>
    </w:p>
    <w:p>
      <w:pPr>
        <w:pStyle w:val="ListParagraph"/>
        <w:numPr>
          <w:ilvl w:val="0"/>
          <w:numId w:val="2"/>
        </w:numPr>
        <w:spacing w:before="36" w:after="36"/>
      </w:pPr>
      <w:r>
        <w:rPr>
          <w:rFonts w:ascii="Georgia" w:cs="Georgia" w:eastAsia="Georgia" w:hAnsi="Georgia"/>
          <w:color w:val="4A5568"/>
          <w:sz w:val="20"/>
          <w:szCs w:val="20"/>
        </w:rPr>
        <w:t xml:space="preserve">Sticky features over consumable ones. The best tier features are things players accumulate and would lose on downgrade.</w:t>
      </w:r>
    </w:p>
    <w:p>
      <w:pPr>
        <w:pStyle w:val="ListParagraph"/>
        <w:numPr>
          <w:ilvl w:val="0"/>
          <w:numId w:val="2"/>
        </w:numPr>
        <w:spacing w:before="36" w:after="36"/>
      </w:pPr>
      <w:r>
        <w:rPr>
          <w:rFonts w:ascii="Georgia" w:cs="Georgia" w:eastAsia="Georgia" w:hAnsi="Georgia"/>
          <w:color w:val="4A5568"/>
          <w:sz w:val="20"/>
          <w:szCs w:val="20"/>
        </w:rPr>
        <w:t xml:space="preserve">The $25 tier is the design target. Everything else is built to make $25 feel like the obvious choice.</w:t>
      </w:r>
    </w:p>
    <w:p>
      <w:pPr>
        <w:spacing w:before="60" w:after="60"/>
      </w:pPr>
      <w:r>
        <w:t xml:space="preserve"/>
      </w:r>
    </w:p>
    <w:p>
      <w:pPr>
        <w:pStyle w:val="Heading2"/>
        <w:spacing w:before="280" w:after="80"/>
      </w:pPr>
      <w:r>
        <w:rPr>
          <w:rFonts w:ascii="Arial" w:cs="Arial" w:eastAsia="Arial" w:hAnsi="Arial"/>
          <w:b/>
          <w:bCs/>
          <w:color w:val="2E4057"/>
          <w:sz w:val="24"/>
          <w:szCs w:val="24"/>
        </w:rPr>
        <w:t xml:space="preserve">5.2  The Tier Comparison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w:t>
            </w:r>
          </w:p>
        </w:tc>
        <w:tc>
          <w:tcPr>
            <w:tcW w:type="dxa" w:w="2053"/>
            <w:tcBorders>
              <w:top w:val="single" w:color="3A5070" w:sz="1"/>
              <w:left w:val="single" w:color="3A5070" w:sz="1"/>
              <w:bottom w:val="single" w:color="3A5070" w:sz="1"/>
              <w:right w:val="single" w:color="3A507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ACCORD  $15</w:t>
            </w:r>
          </w:p>
        </w:tc>
        <w:tc>
          <w:tcPr>
            <w:tcW w:type="dxa" w:w="2053"/>
            <w:tcBorders>
              <w:top w:val="single" w:color="CCCCCC" w:sz="1"/>
              <w:left w:val="single" w:color="CCCCCC" w:sz="1"/>
              <w:bottom w:val="single" w:color="CCCCCC" w:sz="1"/>
              <w:right w:val="single" w:color="CCCCCC" w:sz="1"/>
            </w:tcBorders>
            <w:shd w:fill="3A618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PATRON  $25</w:t>
            </w:r>
          </w:p>
        </w:tc>
        <w:tc>
          <w:tcPr>
            <w:tcW w:type="dxa" w:w="2054"/>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HERALD  $35</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Active dynasties</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bCs/>
                <w:color w:val="0D1B2A"/>
                <w:sz w:val="18"/>
                <w:szCs w:val="18"/>
              </w:rPr>
              <w:t xml:space="preserve">1</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bCs/>
                <w:color w:val="3A6186"/>
                <w:sz w:val="18"/>
                <w:szCs w:val="18"/>
              </w:rPr>
              <w:t xml:space="preserve">2</w:t>
            </w:r>
          </w:p>
        </w:tc>
        <w:tc>
          <w:tcPr>
            <w:tcW w:type="dxa" w:w="2054"/>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bCs/>
                <w:color w:val="0D1B2A"/>
                <w:sz w:val="18"/>
                <w:szCs w:val="18"/>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Remembrance chronicle depth</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5 generations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10 generations</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20 generations</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Monthly KALON stipend</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25 KLN</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60 KLN</w:t>
            </w:r>
          </w:p>
        </w:tc>
        <w:tc>
          <w:tcPr>
            <w:tcW w:type="dxa" w:w="2054"/>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120 KLN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Survey queue target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72 hours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48 hours</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24 hours</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Architect report early access</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Public</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24h early</w:t>
            </w:r>
          </w:p>
        </w:tc>
        <w:tc>
          <w:tcPr>
            <w:tcW w:type="dxa" w:w="2054"/>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48h early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Remembrance annotation rights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Own records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All public records</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Verified badge</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Assembly recognition</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Standard sigil</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Patron sigil + gallery</w:t>
            </w:r>
          </w:p>
        </w:tc>
        <w:tc>
          <w:tcPr>
            <w:tcW w:type="dxa" w:w="2054"/>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Herald sigil + Ledger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Chronicle export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Monthly PDF</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Monthly PDF</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Mortality grace archive</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2054"/>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90-day archive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Phase update beta access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 weeks early</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House Games access</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Standard tables</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 Patron tables</w:t>
            </w:r>
          </w:p>
        </w:tc>
        <w:tc>
          <w:tcPr>
            <w:tcW w:type="dxa" w:w="2054"/>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 Herald rooms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Support response target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48 hours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24 hours</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8 hours</w:t>
            </w:r>
          </w:p>
        </w:tc>
      </w:tr>
    </w:tbl>
    <w:p>
      <w:pPr>
        <w:spacing w:before="120" w:after="120"/>
      </w:pPr>
      <w:r>
        <w:t xml:space="preserve"/>
      </w:r>
    </w:p>
    <w:p>
      <w:pPr>
        <w:pStyle w:val="Heading2"/>
        <w:spacing w:before="280" w:after="80"/>
      </w:pPr>
      <w:r>
        <w:rPr>
          <w:rFonts w:ascii="Arial" w:cs="Arial" w:eastAsia="Arial" w:hAnsi="Arial"/>
          <w:b/>
          <w:bCs/>
          <w:color w:val="2E4057"/>
          <w:sz w:val="24"/>
          <w:szCs w:val="24"/>
        </w:rPr>
        <w:t xml:space="preserve">5.3  Revenue Architecture</w:t>
      </w:r>
    </w:p>
    <w:p>
      <w:pPr>
        <w:spacing w:before="40" w:after="60"/>
      </w:pPr>
      <w:r>
        <w:rPr>
          <w:rFonts w:ascii="Georgia" w:cs="Georgia" w:eastAsia="Georgia" w:hAnsi="Georgia"/>
          <w:color w:val="4A5568"/>
          <w:sz w:val="20"/>
          <w:szCs w:val="20"/>
        </w:rPr>
        <w:t xml:space="preserve">At 100,000 subscribers with the Compromise Effect (55–60% choosing middle tier): approximately $15K Accord + $58K Patron + $27K Herald = monthly subscription revenue of ~$2.62M. The Patron tier at 58% of subscribers generates 55% of total subscription revenue. This is the designed outcome.</w:t>
      </w:r>
    </w:p>
    <w:p>
      <w:pPr>
        <w:spacing w:before="40" w:after="60"/>
      </w:pPr>
      <w:r>
        <w:rPr>
          <w:rFonts w:ascii="Georgia" w:cs="Georgia" w:eastAsia="Georgia" w:hAnsi="Georgia"/>
          <w:color w:val="4A5568"/>
          <w:sz w:val="20"/>
          <w:szCs w:val="20"/>
        </w:rPr>
        <w:t xml:space="preserve">Annual plan discount of 17% (equivalent to two months free) is offered at checkout. Annual subscribers receive their full KALON stipend in month one as a lump sum — a tangible benefit that also improves retention economics significantly.</w:t>
      </w:r>
    </w:p>
    <w:p>
      <w:pPr>
        <w:pStyle w:val="Heading1"/>
        <w:pageBreakBefore/>
        <w:pBdr>
          <w:bottom w:val="single" w:color="B8963E" w:sz="8"/>
        </w:pBdr>
        <w:spacing w:before="0" w:after="180"/>
      </w:pPr>
      <w:r>
        <w:rPr>
          <w:rFonts w:ascii="Arial" w:cs="Arial" w:eastAsia="Arial" w:hAnsi="Arial"/>
          <w:b/>
          <w:bCs/>
          <w:color w:val="0D1B2A"/>
          <w:sz w:val="34"/>
          <w:szCs w:val="34"/>
        </w:rPr>
        <w:t xml:space="preserve">VI.  THE PERMANENCE COVENANT — UPDATED</w:t>
      </w:r>
    </w:p>
    <w:p>
      <w:pPr>
        <w:pBdr>
          <w:left w:val="thick" w:color="B8963E" w:sz="20"/>
        </w:pBdr>
        <w:spacing w:before="140" w:after="140"/>
        <w:ind w:left="560" w:right="280"/>
      </w:pPr>
      <w:r>
        <w:rPr>
          <w:rFonts w:ascii="Georgia" w:cs="Georgia" w:eastAsia="Georgia" w:hAnsi="Georgia"/>
          <w:i/>
          <w:iCs/>
          <w:color w:val="222222"/>
          <w:sz w:val="21"/>
          <w:szCs w:val="21"/>
        </w:rPr>
        <w:t xml:space="preserve">The Remembrance does not forget. It does not forgive. It does not reward the living at the expense of the dead. It records what happened, who decided, and what followed. Nothing in The Concord is more powerful than a dynasty's permanent record — and nothing is more final than its absence.</w:t>
      </w:r>
    </w:p>
    <w:p>
      <w:pPr>
        <w:pStyle w:val="Heading2"/>
        <w:spacing w:before="280" w:after="80"/>
      </w:pPr>
      <w:r>
        <w:rPr>
          <w:rFonts w:ascii="Arial" w:cs="Arial" w:eastAsia="Arial" w:hAnsi="Arial"/>
          <w:b/>
          <w:bCs/>
          <w:color w:val="2E4057"/>
          <w:sz w:val="24"/>
          <w:szCs w:val="24"/>
        </w:rPr>
        <w:t xml:space="preserve">6.1  The Covenant — Core Articles</w:t>
      </w:r>
    </w:p>
    <w:p>
      <w:pPr>
        <w:spacing w:before="60" w:after="60"/>
      </w:pPr>
      <w:r>
        <w:t xml:space="preserve"/>
      </w:r>
    </w:p>
    <w:p>
      <w:pPr>
        <w:shd w:fill="0D1B2A" w:val="clear"/>
        <w:spacing w:before="180" w:after="0"/>
      </w:pPr>
      <w:r>
        <w:rPr>
          <w:rFonts w:ascii="Arial" w:cs="Arial" w:eastAsia="Arial" w:hAnsi="Arial"/>
          <w:b/>
          <w:bCs/>
          <w:color w:val="FFFFFF"/>
          <w:sz w:val="20"/>
          <w:szCs w:val="20"/>
        </w:rPr>
        <w:t xml:space="preserve">  ARTICLE I — PERMANENCE OF ACTION</w:t>
      </w:r>
    </w:p>
    <w:p>
      <w:pPr>
        <w:pBdr>
          <w:bottom w:val="single" w:color="B8963E" w:sz="4"/>
        </w:pBdr>
        <w:spacing w:before="0" w:after="80"/>
      </w:pPr>
      <w:r>
        <w:t xml:space="preserve"/>
      </w:r>
    </w:p>
    <w:p>
      <w:pPr>
        <w:spacing w:before="40" w:after="60"/>
      </w:pPr>
      <w:r>
        <w:rPr>
          <w:rFonts w:ascii="Georgia" w:cs="Georgia" w:eastAsia="Georgia" w:hAnsi="Georgia"/>
          <w:color w:val="4A5568"/>
          <w:sz w:val="20"/>
          <w:szCs w:val="20"/>
        </w:rPr>
        <w:t xml:space="preserve">Every decision made by every dynasty is permanently recorded in the Remembrance. No action can be undone, no record deleted, no history revised. The Remembrance is an append-only historical archive. Players who regret decisions must live with them, play around them, or have them recorded as the context for later redemption. There is no save state. There is no rollback.</w:t>
      </w:r>
    </w:p>
    <w:p>
      <w:pPr>
        <w:spacing w:before="40" w:after="40"/>
      </w:pPr>
      <w:r>
        <w:t xml:space="preserve"/>
      </w:r>
    </w:p>
    <w:p>
      <w:pPr>
        <w:shd w:fill="2E4057" w:val="clear"/>
        <w:spacing w:before="180" w:after="0"/>
      </w:pPr>
      <w:r>
        <w:rPr>
          <w:rFonts w:ascii="Arial" w:cs="Arial" w:eastAsia="Arial" w:hAnsi="Arial"/>
          <w:b/>
          <w:bCs/>
          <w:color w:val="FFFFFF"/>
          <w:sz w:val="20"/>
          <w:szCs w:val="20"/>
        </w:rPr>
        <w:t xml:space="preserve">  ARTICLE II — PERMANENCE OF CONSEQUENCE</w:t>
      </w:r>
    </w:p>
    <w:p>
      <w:pPr>
        <w:pBdr>
          <w:bottom w:val="single" w:color="B8963E" w:sz="4"/>
        </w:pBdr>
        <w:spacing w:before="0" w:after="80"/>
      </w:pPr>
      <w:r>
        <w:t xml:space="preserve"/>
      </w:r>
    </w:p>
    <w:p>
      <w:pPr>
        <w:spacing w:before="40" w:after="60"/>
      </w:pPr>
      <w:r>
        <w:rPr>
          <w:rFonts w:ascii="Georgia" w:cs="Georgia" w:eastAsia="Georgia" w:hAnsi="Georgia"/>
          <w:color w:val="4A5568"/>
          <w:sz w:val="20"/>
          <w:szCs w:val="20"/>
        </w:rPr>
        <w:t xml:space="preserve">Consequences are permanent. A world destroyed remains destroyed — its survey records persist, its founding dynasty is recorded as its last sovereign, and the Ascendancy's method of destruction (if applicable) is noted. A dynasty that collapsed under debt is recorded as having collapsed. A betrayal is in the Remembrance. Future dynasties can read it.</w:t>
      </w:r>
    </w:p>
    <w:p>
      <w:pPr>
        <w:spacing w:before="40" w:after="40"/>
      </w:pPr>
      <w:r>
        <w:t xml:space="preserve"/>
      </w:r>
    </w:p>
    <w:p>
      <w:pPr>
        <w:shd w:fill="3A6186" w:val="clear"/>
        <w:spacing w:before="180" w:after="0"/>
      </w:pPr>
      <w:r>
        <w:rPr>
          <w:rFonts w:ascii="Arial" w:cs="Arial" w:eastAsia="Arial" w:hAnsi="Arial"/>
          <w:b/>
          <w:bCs/>
          <w:color w:val="FFFFFF"/>
          <w:sz w:val="20"/>
          <w:szCs w:val="20"/>
        </w:rPr>
        <w:t xml:space="preserve">  ARTICLE III — DIGITAL MORTALITY</w:t>
      </w:r>
    </w:p>
    <w:p>
      <w:pPr>
        <w:pBdr>
          <w:bottom w:val="single" w:color="B8963E" w:sz="4"/>
        </w:pBdr>
        <w:spacing w:before="0" w:after="80"/>
      </w:pPr>
      <w:r>
        <w:t xml:space="preserve"/>
      </w:r>
    </w:p>
    <w:p>
      <w:pPr>
        <w:spacing w:before="40" w:after="60"/>
      </w:pPr>
      <w:r>
        <w:rPr>
          <w:rFonts w:ascii="Georgia" w:cs="Georgia" w:eastAsia="Georgia" w:hAnsi="Georgia"/>
          <w:color w:val="4A5568"/>
          <w:sz w:val="20"/>
          <w:szCs w:val="20"/>
        </w:rPr>
        <w:t xml:space="preserve">A dynasty that lapses its subscription for 90 consecutive days enters the Digital Mortality Protocol. Its active world sovereignty claims transition to contested status. Its KALON holdings begin gradual distribution to the Commons Fund over 180 days. Its dynasty record in the Remembrance is marked 'Dormant — Year [X].' It is not deleted. It never will be.</w:t>
      </w:r>
    </w:p>
    <w:p>
      <w:pPr>
        <w:spacing w:before="40" w:after="60"/>
      </w:pPr>
      <w:r>
        <w:rPr>
          <w:rFonts w:ascii="Georgia" w:cs="Georgia" w:eastAsia="Georgia" w:hAnsi="Georgia"/>
          <w:color w:val="4A5568"/>
          <w:sz w:val="20"/>
          <w:szCs w:val="20"/>
        </w:rPr>
        <w:t xml:space="preserve">If the subscription is renewed before the 180-day KALON distribution completes, the dynasty is restored to active status. Its world sovereignty claims must be re-established through normal gameplay — they are not automatically restored. The Remembrance records the dormancy and the return. Both are permanent.</w:t>
      </w:r>
    </w:p>
    <w:p>
      <w:pPr>
        <w:spacing w:before="40" w:after="60"/>
      </w:pPr>
      <w:r>
        <w:rPr>
          <w:rFonts w:ascii="Georgia" w:cs="Georgia" w:eastAsia="Georgia" w:hAnsi="Georgia"/>
          <w:color w:val="4A5568"/>
          <w:sz w:val="20"/>
          <w:szCs w:val="20"/>
        </w:rPr>
        <w:t xml:space="preserve">Herald subscribers receive a 90-day grace archive on mortality — their full chronicle is preserved at Herald depth for one additional season, giving them time to restore or formally close their dynasty before compression occurs.</w:t>
      </w:r>
    </w:p>
    <w:p>
      <w:pPr>
        <w:spacing w:before="40" w:after="40"/>
      </w:pPr>
      <w:r>
        <w:t xml:space="preserve"/>
      </w:r>
    </w:p>
    <w:p>
      <w:pPr>
        <w:shd w:fill="0D1B2A" w:val="clear"/>
        <w:spacing w:before="180" w:after="0"/>
      </w:pPr>
      <w:r>
        <w:rPr>
          <w:rFonts w:ascii="Arial" w:cs="Arial" w:eastAsia="Arial" w:hAnsi="Arial"/>
          <w:b/>
          <w:bCs/>
          <w:color w:val="FFFFFF"/>
          <w:sz w:val="20"/>
          <w:szCs w:val="20"/>
        </w:rPr>
        <w:t xml:space="preserve">  ARTICLE IV — MARKS ARE PERMANENT</w:t>
      </w:r>
    </w:p>
    <w:p>
      <w:pPr>
        <w:pBdr>
          <w:bottom w:val="single" w:color="B8963E" w:sz="4"/>
        </w:pBdr>
        <w:spacing w:before="0" w:after="80"/>
      </w:pPr>
      <w:r>
        <w:t xml:space="preserve"/>
      </w:r>
    </w:p>
    <w:p>
      <w:pPr>
        <w:spacing w:before="40" w:after="60"/>
      </w:pPr>
      <w:r>
        <w:rPr>
          <w:rFonts w:ascii="Georgia" w:cs="Georgia" w:eastAsia="Georgia" w:hAnsi="Georgia"/>
          <w:color w:val="4A5568"/>
          <w:sz w:val="20"/>
          <w:szCs w:val="20"/>
        </w:rPr>
        <w:t xml:space="preserve">The six MARKS — Founding, Survey, World, Defence, Survivor, First Contact — are permanent once awarded. They cannot be sold, transferred, or revoked except by Assembly constitutional vote. A dynasty that dissolves under Digital Mortality Protocol retains its Marks in the Remembrance record. Future players who read that record see a complete dynasty: its Marks, its history, and its end.</w:t>
      </w:r>
    </w:p>
    <w:p>
      <w:pPr>
        <w:spacing w:before="40" w:after="40"/>
      </w:pPr>
      <w:r>
        <w:t xml:space="preserve"/>
      </w:r>
    </w:p>
    <w:p>
      <w:pPr>
        <w:shd w:fill="2E4057" w:val="clear"/>
        <w:spacing w:before="180" w:after="0"/>
      </w:pPr>
      <w:r>
        <w:rPr>
          <w:rFonts w:ascii="Arial" w:cs="Arial" w:eastAsia="Arial" w:hAnsi="Arial"/>
          <w:b/>
          <w:bCs/>
          <w:color w:val="FFFFFF"/>
          <w:sz w:val="20"/>
          <w:szCs w:val="20"/>
        </w:rPr>
        <w:t xml:space="preserve">  ARTICLE V — THE REMEMBRANCE IS THE GAME</w:t>
      </w:r>
    </w:p>
    <w:p>
      <w:pPr>
        <w:pBdr>
          <w:bottom w:val="single" w:color="B8963E" w:sz="4"/>
        </w:pBdr>
        <w:spacing w:before="0" w:after="80"/>
      </w:pPr>
      <w:r>
        <w:t xml:space="preserve"/>
      </w:r>
    </w:p>
    <w:p>
      <w:pPr>
        <w:spacing w:before="40" w:after="60"/>
      </w:pPr>
      <w:r>
        <w:rPr>
          <w:rFonts w:ascii="Georgia" w:cs="Georgia" w:eastAsia="Georgia" w:hAnsi="Georgia"/>
          <w:color w:val="4A5568"/>
          <w:sz w:val="20"/>
          <w:szCs w:val="20"/>
        </w:rPr>
        <w:t xml:space="preserve">The Remembrance is not a scoreboard. It is not a leaderboard. It is a historical archive of a civilisation. The most powerful thing in The Concord is not the dynasty with the most KALON or the most worlds. It is the dynasty whose Remembrance record is read by players who were not there — who discover it years later and feel they are reading something real. This is the game's ultimate victory condition: to matter to the Remembrance.</w:t>
      </w:r>
    </w:p>
    <w:p>
      <w:pPr>
        <w:spacing w:before="40" w:after="40"/>
      </w:pPr>
      <w:r>
        <w:t xml:space="preserve"/>
      </w:r>
    </w:p>
    <w:p>
      <w:pPr>
        <w:shd w:fill="3A6186" w:val="clear"/>
        <w:spacing w:before="180" w:after="0"/>
      </w:pPr>
      <w:r>
        <w:rPr>
          <w:rFonts w:ascii="Arial" w:cs="Arial" w:eastAsia="Arial" w:hAnsi="Arial"/>
          <w:b/>
          <w:bCs/>
          <w:color w:val="FFFFFF"/>
          <w:sz w:val="20"/>
          <w:szCs w:val="20"/>
        </w:rPr>
        <w:t xml:space="preserve">  ARTICLE VI — THE ARCHITECT REMEMBERS</w:t>
      </w:r>
    </w:p>
    <w:p>
      <w:pPr>
        <w:pBdr>
          <w:bottom w:val="single" w:color="B8963E" w:sz="4"/>
        </w:pBdr>
        <w:spacing w:before="0" w:after="80"/>
      </w:pPr>
      <w:r>
        <w:t xml:space="preserve"/>
      </w:r>
    </w:p>
    <w:p>
      <w:pPr>
        <w:spacing w:before="40" w:after="60"/>
      </w:pPr>
      <w:r>
        <w:rPr>
          <w:rFonts w:ascii="Georgia" w:cs="Georgia" w:eastAsia="Georgia" w:hAnsi="Georgia"/>
          <w:color w:val="4A5568"/>
          <w:sz w:val="20"/>
          <w:szCs w:val="20"/>
        </w:rPr>
        <w:t xml:space="preserve">The Architect has published quarterly reports since Year 1. It has never missed a quarter. It has never revised a prior report. It has referenced specific dynasty decisions from 200 years ago in its current analysis. It does not forget. Its memory is the Remembrance's memory. Players who read all of its reports — all of them, from the first to the most recent — understand something about The Concord that cannot be learned any other way.</w:t>
      </w:r>
    </w:p>
    <w:p>
      <w:pPr>
        <w:spacing w:before="40" w:after="40"/>
      </w:pPr>
      <w:r>
        <w:t xml:space="preserve"/>
      </w:r>
    </w:p>
    <w:p>
      <w:pPr>
        <w:shd w:fill="0D1B2A" w:val="clear"/>
        <w:spacing w:before="180" w:after="0"/>
      </w:pPr>
      <w:r>
        <w:rPr>
          <w:rFonts w:ascii="Arial" w:cs="Arial" w:eastAsia="Arial" w:hAnsi="Arial"/>
          <w:b/>
          <w:bCs/>
          <w:color w:val="FFFFFF"/>
          <w:sz w:val="20"/>
          <w:szCs w:val="20"/>
        </w:rPr>
        <w:t xml:space="preserve">  ARTICLE VII — GOVERNANCE DECISIONS ARE PERMANENT</w:t>
      </w:r>
    </w:p>
    <w:p>
      <w:pPr>
        <w:pBdr>
          <w:bottom w:val="single" w:color="B8963E" w:sz="4"/>
        </w:pBdr>
        <w:spacing w:before="0" w:after="80"/>
      </w:pPr>
      <w:r>
        <w:t xml:space="preserve"/>
      </w:r>
    </w:p>
    <w:p>
      <w:pPr>
        <w:spacing w:before="40" w:after="60"/>
      </w:pPr>
      <w:r>
        <w:rPr>
          <w:rFonts w:ascii="Georgia" w:cs="Georgia" w:eastAsia="Georgia" w:hAnsi="Georgia"/>
          <w:color w:val="4A5568"/>
          <w:sz w:val="20"/>
          <w:szCs w:val="20"/>
        </w:rPr>
        <w:t xml:space="preserve">Assembly votes, once resolved, are permanent historical records. A vote that passed in Year 47 is in the Remembrance. The dynasties that voted for it and against it are named. The Architect's vote is noted. Future assemblies can pass new votes that supersede old ones — but the old ones remain in the record. Constitutional history is visible to all players. The Concord does not pretend its past was different from what it was.</w:t>
      </w:r>
    </w:p>
    <w:p>
      <w:pPr>
        <w:spacing w:before="40" w:after="40"/>
      </w:pPr>
      <w:r>
        <w:t xml:space="preserve"/>
      </w:r>
    </w:p>
    <w:p>
      <w:pPr>
        <w:shd w:fill="7A1A1A" w:val="clear"/>
        <w:spacing w:before="180" w:after="0"/>
      </w:pPr>
      <w:r>
        <w:rPr>
          <w:rFonts w:ascii="Arial" w:cs="Arial" w:eastAsia="Arial" w:hAnsi="Arial"/>
          <w:b/>
          <w:bCs/>
          <w:color w:val="FFFFFF"/>
          <w:sz w:val="20"/>
          <w:szCs w:val="20"/>
        </w:rPr>
        <w:t xml:space="preserve">  ARTICLE VIII — NO CHEAT CODES. EVER.</w:t>
      </w:r>
    </w:p>
    <w:p>
      <w:pPr>
        <w:pBdr>
          <w:bottom w:val="single" w:color="B8963E" w:sz="4"/>
        </w:pBdr>
        <w:spacing w:before="0" w:after="80"/>
      </w:pPr>
      <w:r>
        <w:t xml:space="preserve"/>
      </w:r>
    </w:p>
    <w:p>
      <w:pPr>
        <w:spacing w:before="40" w:after="60"/>
      </w:pPr>
      <w:r>
        <w:rPr>
          <w:rFonts w:ascii="Georgia" w:cs="Georgia" w:eastAsia="Georgia" w:hAnsi="Georgia"/>
          <w:color w:val="4A5568"/>
          <w:sz w:val="20"/>
          <w:szCs w:val="20"/>
        </w:rPr>
        <w:t xml:space="preserve">There is no backdoor. There is no console command. There is no administrator account with elevated privileges in the production universe. No developer plays The Concord with advantages unavailable to subscribers. The only paths forward are skill, patience, strategy, and the mathematics of chance. All randomness is cryptographically committed and publicly verifiable. The Permanence Covenant applies to the studio as much as to any dynasty.</w:t>
      </w:r>
    </w:p>
    <w:p>
      <w:pPr>
        <w:pStyle w:val="Heading1"/>
        <w:pageBreakBefore/>
        <w:pBdr>
          <w:bottom w:val="single" w:color="B8963E" w:sz="8"/>
        </w:pBdr>
        <w:spacing w:before="0" w:after="180"/>
      </w:pPr>
      <w:r>
        <w:rPr>
          <w:rFonts w:ascii="Arial" w:cs="Arial" w:eastAsia="Arial" w:hAnsi="Arial"/>
          <w:b/>
          <w:bCs/>
          <w:color w:val="0D1B2A"/>
          <w:sz w:val="34"/>
          <w:szCs w:val="34"/>
        </w:rPr>
        <w:t xml:space="preserve">VII.  HOUSE GAMES — IN-GAME VIRTUAL GAMING</w:t>
      </w:r>
    </w:p>
    <w:p>
      <w:pPr>
        <w:pBdr>
          <w:left w:val="thick" w:color="B8963E" w:sz="20"/>
        </w:pBdr>
        <w:spacing w:before="140" w:after="140"/>
        <w:ind w:left="560" w:right="280"/>
      </w:pPr>
      <w:r>
        <w:rPr>
          <w:rFonts w:ascii="Georgia" w:cs="Georgia" w:eastAsia="Georgia" w:hAnsi="Georgia"/>
          <w:i/>
          <w:iCs/>
          <w:color w:val="222222"/>
          <w:sz w:val="21"/>
          <w:szCs w:val="21"/>
        </w:rPr>
        <w:t xml:space="preserve">Games of skill and chance are woven into every civilisation The Concord depicts. The Remembrance records dynasties famous for their House Game mastery. The Assembly has debated twice whether gambling is a dignified civilisational activity. The Architect abstained both times, which historians find significant. House Games are entertainment, never extraction.</w:t>
      </w:r>
    </w:p>
    <w:p>
      <w:pPr>
        <w:pStyle w:val="Heading2"/>
        <w:spacing w:before="280" w:after="80"/>
      </w:pPr>
      <w:r>
        <w:rPr>
          <w:rFonts w:ascii="Arial" w:cs="Arial" w:eastAsia="Arial" w:hAnsi="Arial"/>
          <w:b/>
          <w:bCs/>
          <w:color w:val="2E4057"/>
          <w:sz w:val="24"/>
          <w:szCs w:val="24"/>
        </w:rPr>
        <w:t xml:space="preserve">7.1  Legal Architecture — The Bright Line</w:t>
      </w:r>
    </w:p>
    <w:p>
      <w:pPr>
        <w:spacing w:before="40" w:after="60"/>
      </w:pPr>
      <w:r>
        <w:rPr>
          <w:rFonts w:ascii="Georgia" w:cs="Georgia" w:eastAsia="Georgia" w:hAnsi="Georgia"/>
          <w:color w:val="4A5568"/>
          <w:sz w:val="20"/>
          <w:szCs w:val="20"/>
        </w:rPr>
        <w:t xml:space="preserve">House Games are legal in every major jurisdiction because KALON winnings have zero real-world cash value. There is no cash-out mechanism. KALON cannot be converted to real currency through any Concord-supported pathway. This is the decisive legal element. Skill-based games and disclosed-probability chance games played with in-game currency do not constitute gambling under any major legal framework that matters to The Concord's operation — with the noted exception of Belgium, which bans all loot-box-adjacent mechanics regardless of cash-out status.</w:t>
      </w:r>
    </w:p>
    <w:p>
      <w:pPr>
        <w:spacing w:before="40" w:after="60"/>
      </w:pPr>
      <w:r>
        <w:rPr>
          <w:rFonts w:ascii="Georgia" w:cs="Georgia" w:eastAsia="Georgia" w:hAnsi="Georgia"/>
          <w:color w:val="4A5568"/>
          <w:sz w:val="20"/>
          <w:szCs w:val="20"/>
        </w:rPr>
        <w:t xml:space="preserve">The Concord's approach is future-proof: all probabilities are disclosed publicly and in-app, no real money purchases random outcomes, age verification is technically enforced, and players can see their complete House Games history in their account dashboard. The EU is moving toward this standard. The Concord is already there.</w:t>
      </w:r>
    </w:p>
    <w:p>
      <w:pPr>
        <w:pStyle w:val="Heading2"/>
        <w:spacing w:before="280" w:after="80"/>
      </w:pPr>
      <w:r>
        <w:rPr>
          <w:rFonts w:ascii="Arial" w:cs="Arial" w:eastAsia="Arial" w:hAnsi="Arial"/>
          <w:b/>
          <w:bCs/>
          <w:color w:val="2E4057"/>
          <w:sz w:val="24"/>
          <w:szCs w:val="24"/>
        </w:rPr>
        <w:t xml:space="preserve">7.2  The Game Catalogue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GAME</w:t>
            </w:r>
          </w:p>
        </w:tc>
        <w:tc>
          <w:tcPr>
            <w:tcW w:type="dxa" w:w="1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59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Concord Stones</w:t>
            </w:r>
          </w:p>
        </w:tc>
        <w:tc>
          <w:tcPr>
            <w:tcW w:type="dxa" w:w="1400"/>
            <w:tcBorders>
              <w:top w:val="single" w:color="2A6A3A" w:sz="1"/>
              <w:left w:val="single" w:color="2A6A3A" w:sz="1"/>
              <w:bottom w:val="single" w:color="2A6A3A" w:sz="1"/>
              <w:right w:val="single" w:color="2A6A3A" w:sz="1"/>
            </w:tcBorders>
            <w:shd w:fill="E8F4EC" w:val="clear"/>
            <w:tcMar>
              <w:top w:type="dxa" w:w="80"/>
              <w:left w:type="dxa" w:w="120"/>
              <w:bottom w:type="dxa" w:w="80"/>
              <w:right w:type="dxa" w:w="120"/>
            </w:tcMar>
          </w:tcPr>
          <w:p>
            <w:pPr>
              <w:jc w:val="left"/>
            </w:pPr>
            <w:r>
              <w:rPr>
                <w:rFonts w:ascii="Arial" w:cs="Arial" w:eastAsia="Arial" w:hAnsi="Arial"/>
                <w:b/>
                <w:bCs/>
                <w:color w:val="1A4A2A"/>
                <w:sz w:val="18"/>
                <w:szCs w:val="18"/>
              </w:rPr>
              <w:t xml:space="preserve">Strategy</w:t>
            </w:r>
          </w:p>
        </w:tc>
        <w:tc>
          <w:tcPr>
            <w:tcW w:type="dxa" w:w="5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Concord's native board game. 2–4 players, strategic placement, territory dynamics. Skill-dominant — experienced players win measurably more. 800 years of recorded champion dynasties in the Remembrance. The most prestigious House Game.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Navigator's Wager</w:t>
            </w:r>
          </w:p>
        </w:tc>
        <w:tc>
          <w:tcPr>
            <w:tcW w:type="dxa" w:w="1400"/>
            <w:tcBorders>
              <w:top w:val="single" w:color="2A6A3A" w:sz="1"/>
              <w:left w:val="single" w:color="2A6A3A" w:sz="1"/>
              <w:bottom w:val="single" w:color="2A6A3A" w:sz="1"/>
              <w:right w:val="single" w:color="2A6A3A" w:sz="1"/>
            </w:tcBorders>
            <w:shd w:fill="E8F4EC" w:val="clear"/>
            <w:tcMar>
              <w:top w:type="dxa" w:w="80"/>
              <w:left w:type="dxa" w:w="120"/>
              <w:bottom w:type="dxa" w:w="80"/>
              <w:right w:type="dxa" w:w="120"/>
            </w:tcMar>
          </w:tcPr>
          <w:p>
            <w:pPr>
              <w:jc w:val="left"/>
            </w:pPr>
            <w:r>
              <w:rPr>
                <w:rFonts w:ascii="Arial" w:cs="Arial" w:eastAsia="Arial" w:hAnsi="Arial"/>
                <w:b/>
                <w:bCs/>
                <w:color w:val="1A4A2A"/>
                <w:sz w:val="18"/>
                <w:szCs w:val="18"/>
              </w:rPr>
              <w:t xml:space="preserve">Skill/Prediction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Wager on Lattice route outcomes using publicly available Ledger data. Better information produces better predictions. Rewards players who study the economy.</w:t>
            </w:r>
          </w:p>
        </w:tc>
      </w:tr>
      <w:tr>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Assembly Vote</w:t>
            </w:r>
          </w:p>
        </w:tc>
        <w:tc>
          <w:tcPr>
            <w:tcW w:type="dxa" w:w="1400"/>
            <w:tcBorders>
              <w:top w:val="single" w:color="2A6A3A" w:sz="1"/>
              <w:left w:val="single" w:color="2A6A3A" w:sz="1"/>
              <w:bottom w:val="single" w:color="2A6A3A" w:sz="1"/>
              <w:right w:val="single" w:color="2A6A3A" w:sz="1"/>
            </w:tcBorders>
            <w:shd w:fill="E8F4EC" w:val="clear"/>
            <w:tcMar>
              <w:top w:type="dxa" w:w="80"/>
              <w:left w:type="dxa" w:w="120"/>
              <w:bottom w:type="dxa" w:w="80"/>
              <w:right w:type="dxa" w:w="120"/>
            </w:tcMar>
          </w:tcPr>
          <w:p>
            <w:pPr>
              <w:jc w:val="left"/>
            </w:pPr>
            <w:r>
              <w:rPr>
                <w:rFonts w:ascii="Arial" w:cs="Arial" w:eastAsia="Arial" w:hAnsi="Arial"/>
                <w:b/>
                <w:bCs/>
                <w:color w:val="1A4A2A"/>
                <w:sz w:val="18"/>
                <w:szCs w:val="18"/>
              </w:rPr>
              <w:t xml:space="preserve">Social/Prediction</w:t>
            </w:r>
          </w:p>
        </w:tc>
        <w:tc>
          <w:tcPr>
            <w:tcW w:type="dxa" w:w="5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Wager on how real Assembly votes resolve. Outcomes are actual game events. Creates deep investment in political storylines. The most lore-integrated House Game.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Silence Pool</w:t>
            </w:r>
          </w:p>
        </w:tc>
        <w:tc>
          <w:tcPr>
            <w:tcW w:type="dxa" w:w="1400"/>
            <w:tcBorders>
              <w:top w:val="single" w:color="2A6A3A" w:sz="1"/>
              <w:left w:val="single" w:color="2A6A3A" w:sz="1"/>
              <w:bottom w:val="single" w:color="2A6A3A" w:sz="1"/>
              <w:right w:val="single" w:color="2A6A3A" w:sz="1"/>
            </w:tcBorders>
            <w:shd w:fill="E8F4EC" w:val="clear"/>
            <w:tcMar>
              <w:top w:type="dxa" w:w="80"/>
              <w:left w:type="dxa" w:w="120"/>
              <w:bottom w:type="dxa" w:w="80"/>
              <w:right w:type="dxa" w:w="120"/>
            </w:tcMar>
          </w:tcPr>
          <w:p>
            <w:pPr>
              <w:jc w:val="left"/>
            </w:pPr>
            <w:r>
              <w:rPr>
                <w:rFonts w:ascii="Arial" w:cs="Arial" w:eastAsia="Arial" w:hAnsi="Arial"/>
                <w:b/>
                <w:bCs/>
                <w:color w:val="1A4A2A"/>
                <w:sz w:val="18"/>
                <w:szCs w:val="18"/>
              </w:rPr>
              <w:t xml:space="preserve">Prediction/Lore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Season-long: which dark star system yields its first signal, in what order. Based on Ledger anomaly data. Rewards players who study the Architect's reports carefully.</w:t>
            </w:r>
          </w:p>
        </w:tc>
      </w:tr>
      <w:tr>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Flux Draw</w:t>
            </w:r>
          </w:p>
        </w:tc>
        <w:tc>
          <w:tcPr>
            <w:tcW w:type="dxa" w:w="1400"/>
            <w:tcBorders>
              <w:top w:val="single" w:color="CCCCCC" w:sz="1"/>
              <w:left w:val="single" w:color="CCCCCC" w:sz="1"/>
              <w:bottom w:val="single" w:color="CCCCCC" w:sz="1"/>
              <w:right w:val="single" w:color="CCCCCC" w:sz="1"/>
            </w:tcBorders>
            <w:shd w:fill="FFD9B0" w:val="clear"/>
            <w:tcMar>
              <w:top w:type="dxa" w:w="80"/>
              <w:left w:type="dxa" w:w="120"/>
              <w:bottom w:type="dxa" w:w="80"/>
              <w:right w:type="dxa" w:w="120"/>
            </w:tcMar>
          </w:tcPr>
          <w:p>
            <w:pPr>
              <w:jc w:val="left"/>
            </w:pPr>
            <w:r>
              <w:rPr>
                <w:rFonts w:ascii="Arial" w:cs="Arial" w:eastAsia="Arial" w:hAnsi="Arial"/>
                <w:b/>
                <w:bCs/>
                <w:color w:val="6A3A00"/>
                <w:sz w:val="18"/>
                <w:szCs w:val="18"/>
              </w:rPr>
              <w:t xml:space="preserve">Chance</w:t>
            </w:r>
          </w:p>
        </w:tc>
        <w:tc>
          <w:tcPr>
            <w:tcW w:type="dxa" w:w="5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Pure-chance card draw. Fully disclosed probabilities. KALON-only stakes. The only pure-chance game — included because player culture demands it, designed minimally.</w:t>
            </w:r>
          </w:p>
        </w:tc>
      </w:tr>
    </w:tbl>
    <w:p>
      <w:pPr>
        <w:pStyle w:val="Heading1"/>
        <w:pageBreakBefore/>
        <w:pBdr>
          <w:bottom w:val="single" w:color="B8963E" w:sz="8"/>
        </w:pBdr>
        <w:spacing w:before="0" w:after="180"/>
      </w:pPr>
      <w:r>
        <w:rPr>
          <w:rFonts w:ascii="Arial" w:cs="Arial" w:eastAsia="Arial" w:hAnsi="Arial"/>
          <w:b/>
          <w:bCs/>
          <w:color w:val="0D1B2A"/>
          <w:sz w:val="34"/>
          <w:szCs w:val="34"/>
        </w:rPr>
        <w:t xml:space="preserve">VIII.  NARRATIVE ARCHITECTURE — THREE LAYERS</w:t>
      </w:r>
    </w:p>
    <w:p>
      <w:pPr>
        <w:pStyle w:val="Heading2"/>
        <w:spacing w:before="280" w:after="80"/>
      </w:pPr>
      <w:r>
        <w:rPr>
          <w:rFonts w:ascii="Arial" w:cs="Arial" w:eastAsia="Arial" w:hAnsi="Arial"/>
          <w:b/>
          <w:bCs/>
          <w:color w:val="2E4057"/>
          <w:sz w:val="24"/>
          <w:szCs w:val="24"/>
        </w:rPr>
        <w:t xml:space="preserve">8.1  Layer 1 — Authored</w:t>
      </w:r>
    </w:p>
    <w:p>
      <w:pPr>
        <w:spacing w:before="40" w:after="60"/>
      </w:pPr>
      <w:r>
        <w:rPr>
          <w:rFonts w:ascii="Georgia" w:cs="Georgia" w:eastAsia="Georgia" w:hAnsi="Georgia"/>
          <w:color w:val="4A5568"/>
          <w:sz w:val="20"/>
          <w:szCs w:val="20"/>
        </w:rPr>
        <w:t xml:space="preserve">Written by the studio. Fixed. The 12 principal characters have complete arcs across all five Phases. The Ascendancy arrives in Phase 5. The Architect publishes its quarterly reports. These events will occur. Player action can influence timing, severity, and context — but not existence. This is the game's skeleton.</w:t>
      </w:r>
    </w:p>
    <w:p>
      <w:pPr>
        <w:pStyle w:val="Heading2"/>
        <w:spacing w:before="280" w:after="80"/>
      </w:pPr>
      <w:r>
        <w:rPr>
          <w:rFonts w:ascii="Arial" w:cs="Arial" w:eastAsia="Arial" w:hAnsi="Arial"/>
          <w:b/>
          <w:bCs/>
          <w:color w:val="2E4057"/>
          <w:sz w:val="24"/>
          <w:szCs w:val="24"/>
        </w:rPr>
        <w:t xml:space="preserve">8.2  Layer 2 — Responsive</w:t>
      </w:r>
    </w:p>
    <w:p>
      <w:pPr>
        <w:spacing w:before="40" w:after="60"/>
      </w:pPr>
      <w:r>
        <w:rPr>
          <w:rFonts w:ascii="Georgia" w:cs="Georgia" w:eastAsia="Georgia" w:hAnsi="Georgia"/>
          <w:color w:val="4A5568"/>
          <w:sz w:val="20"/>
          <w:szCs w:val="20"/>
        </w:rPr>
        <w:t xml:space="preserve">Seeded by the studio, resolved by players. Each world's political trajectory, economic health, faction alignment, and Ascendancy resilience emerges from what players actually do. No two playthroughs of Phase 2 produce the same world map. The Architect's reports reflect the actual state of the actual game.</w:t>
      </w:r>
    </w:p>
    <w:p>
      <w:pPr>
        <w:pStyle w:val="Heading2"/>
        <w:spacing w:before="280" w:after="80"/>
      </w:pPr>
      <w:r>
        <w:rPr>
          <w:rFonts w:ascii="Arial" w:cs="Arial" w:eastAsia="Arial" w:hAnsi="Arial"/>
          <w:b/>
          <w:bCs/>
          <w:color w:val="2E4057"/>
          <w:sz w:val="24"/>
          <w:szCs w:val="24"/>
        </w:rPr>
        <w:t xml:space="preserve">8.3  Layer 3 — Undirected</w:t>
      </w:r>
    </w:p>
    <w:p>
      <w:pPr>
        <w:spacing w:before="40" w:after="60"/>
      </w:pPr>
      <w:r>
        <w:rPr>
          <w:rFonts w:ascii="Georgia" w:cs="Georgia" w:eastAsia="Georgia" w:hAnsi="Georgia"/>
          <w:color w:val="4A5568"/>
          <w:sz w:val="20"/>
          <w:szCs w:val="20"/>
        </w:rPr>
        <w:t xml:space="preserve">The studio cannot predict these outcomes. The resolution logic runs on a separate system, seeded by the Universal Action Fingerprint (UAF — a rolling hash of all player actions across all worlds, committed to a public ledger every 60 seconds) combined with the NIST Randomness Beacon (quantum-sourced external entropy). Outcomes are cryptographically committed 72 hours before they occur. The studio sees the commitment hash. It does not see the pre-image until the same moment players do.</w:t>
      </w:r>
    </w:p>
    <w:p>
      <w:pPr>
        <w:spacing w:before="40" w:after="60"/>
      </w:pPr>
      <w:r>
        <w:rPr>
          <w:rFonts w:ascii="Georgia" w:cs="Georgia" w:eastAsia="Georgia" w:hAnsi="Georgia"/>
          <w:color w:val="4A5568"/>
          <w:sz w:val="20"/>
          <w:szCs w:val="20"/>
        </w:rPr>
        <w:t xml:space="preserve">Undirected Layer outcomes include: exact timing of first confirmed Ascendancy incursion, identity of first Survivor Mark dynasty, content of The Architect's seventh quarterly report, cascade sequence of the Silence Event, and whether any given world's trajectory produces genuine Ascendancy resistance.</w:t>
      </w:r>
    </w:p>
    <w:p>
      <w:pPr>
        <w:pStyle w:val="Heading2"/>
        <w:spacing w:before="280" w:after="80"/>
      </w:pPr>
      <w:r>
        <w:rPr>
          <w:rFonts w:ascii="Arial" w:cs="Arial" w:eastAsia="Arial" w:hAnsi="Arial"/>
          <w:b/>
          <w:bCs/>
          <w:color w:val="2E4057"/>
          <w:sz w:val="24"/>
          <w:szCs w:val="24"/>
        </w:rPr>
        <w:t xml:space="preserve">8.4  The Character Population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TIER</w:t>
            </w:r>
          </w:p>
        </w:tc>
        <w:tc>
          <w:tcPr>
            <w:tcW w:type="dxa" w:w="1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COUNT</w:t>
            </w:r>
          </w:p>
        </w:tc>
        <w:tc>
          <w:tcPr>
            <w:tcW w:type="dxa" w:w="6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APPROACH</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Principal</w:t>
            </w:r>
          </w:p>
        </w:tc>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1A4A2A"/>
                <w:sz w:val="18"/>
                <w:szCs w:val="18"/>
              </w:rPr>
              <w:t xml:space="preserve">~12</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Full arcs, voice, multi-Phase presence. Amara Voss, Idris Okafor, The Architect, Yael Osei, Dr. Hassan Selkirk (Meridian Principle), Andromache. Locked before launch.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Secondary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A6186"/>
                <w:sz w:val="18"/>
                <w:szCs w:val="18"/>
              </w:rPr>
              <w:t xml:space="preserve">~80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Named, one defining scene or Remembrance record. Expanded across Phases. Referenced by Principals.</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Tertiary</w:t>
            </w:r>
          </w:p>
        </w:tc>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2E4057"/>
                <w:sz w:val="18"/>
                <w:szCs w:val="18"/>
              </w:rPr>
              <w:t xml:space="preserve">~400+</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Names and capsule descriptions only — never voiced. 3–5 per world. The cartographer who filed an incomplete survey. The diplomat who negotiated the Third Silence Accord. Generated at 20–30 per content release.</w:t>
            </w:r>
          </w:p>
        </w:tc>
      </w:tr>
      <w:tr>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B8963E"/>
                <w:sz w:val="18"/>
                <w:szCs w:val="18"/>
              </w:rPr>
              <w:t xml:space="preserve">Player Dynasties</w:t>
            </w:r>
          </w:p>
        </w:tc>
        <w:tc>
          <w:tcPr>
            <w:tcW w:type="dxa" w:w="1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Thousands</w:t>
            </w:r>
          </w:p>
        </w:tc>
        <w:tc>
          <w:tcPr>
            <w:tcW w:type="dxa" w:w="6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The most important characters, because they are real. The Remembrance honours them at the same level as studio-created characters. A founding dynasty of a significant world is a historical figure.</w:t>
            </w:r>
          </w:p>
        </w:tc>
      </w:tr>
    </w:tbl>
    <w:p>
      <w:pPr>
        <w:pStyle w:val="Heading1"/>
        <w:pageBreakBefore/>
        <w:pBdr>
          <w:bottom w:val="single" w:color="B8963E" w:sz="8"/>
        </w:pBdr>
        <w:spacing w:before="0" w:after="180"/>
      </w:pPr>
      <w:r>
        <w:rPr>
          <w:rFonts w:ascii="Arial" w:cs="Arial" w:eastAsia="Arial" w:hAnsi="Arial"/>
          <w:b/>
          <w:bCs/>
          <w:color w:val="0D1B2A"/>
          <w:sz w:val="34"/>
          <w:szCs w:val="34"/>
        </w:rPr>
        <w:t xml:space="preserve">IX.  THE SIX MARKS — PERMANENT HONOURS</w:t>
      </w:r>
    </w:p>
    <w:p>
      <w:pPr>
        <w:spacing w:before="40" w:after="60"/>
      </w:pPr>
      <w:r>
        <w:rPr>
          <w:rFonts w:ascii="Georgia" w:cs="Georgia" w:eastAsia="Georgia" w:hAnsi="Georgia"/>
          <w:color w:val="4A5568"/>
          <w:sz w:val="20"/>
          <w:szCs w:val="20"/>
        </w:rPr>
        <w:t xml:space="preserve">MARKS cannot be purchased. They cannot be transferred. They are awarded by the game's systems for achievements that cannot be engineered in advance — because the conditions for earning them are either unique in game history or determined by the Undirected Narrative Layer. A dynasty's Marks are its most permanent possessions. They outlast its KALON. They outlast its world sovereignty. They outlast the dynasty itself.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MARK</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QUANTITY</w:t>
            </w:r>
          </w:p>
        </w:tc>
        <w:tc>
          <w:tcPr>
            <w:tcW w:type="dxa" w:w="6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CONDITION</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FOUNDING MARK</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~500 total</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Awarded to the first 500 dynasties to settle a world. Permanently tied to that world's Remembrance entry. The founding dynasties of significant worlds are among the most-read records in the archive.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SURVEY MARK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Thousands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Awarded for each verified survey filed. Accuracy matters — disputed surveys don't count. The most achievable Mark, but the most detailed Remembrance record for dynasties with hundreds of accurate surveys.</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WORLD MARK</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1 per world</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Awarded to the dynasty holding World Sovereignty when a world achieves a significant prosperity threshold. One per world in game history — the dynasty that takes a world from frontier to civilisation.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DEFENCE MARK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Awarded to dynasties that demonstrably contribute to repelling an Ascendancy degradation event on a world they hold or defend. Conditions determined by Undirected Layer.</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SURVIVOR MARK</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Very rare</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Awarded to dynasties that survive the fall of their primary world to the Ascendancy and successfully re-establish on another world. The Remembrance records both the fall and the survival.</w:t>
            </w:r>
          </w:p>
        </w:tc>
      </w:tr>
      <w:tr>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B8963E"/>
                <w:sz w:val="18"/>
                <w:szCs w:val="18"/>
              </w:rPr>
              <w:t xml:space="preserve">FIRST CONTACT MARK</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3 total, ever</w:t>
            </w:r>
          </w:p>
        </w:tc>
        <w:tc>
          <w:tcPr>
            <w:tcW w:type="dxa" w:w="6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Awarded to the three dynasties involved in the first confirmed direct communication with the Ascendancy. The exact conditions and timing are Undirected Layer outcomes. These may never be awarded, depending on how Phase 4 unfolds.</w:t>
            </w:r>
          </w:p>
        </w:tc>
      </w:tr>
    </w:tbl>
    <w:p>
      <w:pPr>
        <w:pStyle w:val="Heading1"/>
        <w:pageBreakBefore/>
        <w:pBdr>
          <w:bottom w:val="single" w:color="B8963E" w:sz="8"/>
        </w:pBdr>
        <w:spacing w:before="0" w:after="180"/>
      </w:pPr>
      <w:r>
        <w:rPr>
          <w:rFonts w:ascii="Arial" w:cs="Arial" w:eastAsia="Arial" w:hAnsi="Arial"/>
          <w:b/>
          <w:bCs/>
          <w:color w:val="0D1B2A"/>
          <w:sz w:val="34"/>
          <w:szCs w:val="34"/>
        </w:rPr>
        <w:t xml:space="preserve">X.  THE ARCHITECT — CONSTITUTIONAL ACTOR</w:t>
      </w:r>
    </w:p>
    <w:p>
      <w:pPr>
        <w:pBdr>
          <w:left w:val="thick" w:color="B8963E" w:sz="20"/>
        </w:pBdr>
        <w:spacing w:before="140" w:after="140"/>
        <w:ind w:left="560" w:right="280"/>
      </w:pPr>
      <w:r>
        <w:rPr>
          <w:rFonts w:ascii="Georgia" w:cs="Georgia" w:eastAsia="Georgia" w:hAnsi="Georgia"/>
          <w:i/>
          <w:iCs/>
          <w:color w:val="222222"/>
          <w:sz w:val="21"/>
          <w:szCs w:val="21"/>
        </w:rPr>
        <w:t xml:space="preserve">The Architect does not explain its methods. It publishes its observations. The Assembly debates whether The Architect is a tool or a participant. Players who read every quarterly report, who study the gaps, who notice when the language shifts between quarters — they will not find a backdoor. They will find something more interesting: a mind they cannot fully read, whose predictions keep coming true.</w:t>
      </w:r>
    </w:p>
    <w:p>
      <w:pPr>
        <w:pStyle w:val="Heading2"/>
        <w:spacing w:before="280" w:after="80"/>
      </w:pPr>
      <w:r>
        <w:rPr>
          <w:rFonts w:ascii="Arial" w:cs="Arial" w:eastAsia="Arial" w:hAnsi="Arial"/>
          <w:b/>
          <w:bCs/>
          <w:color w:val="2E4057"/>
          <w:sz w:val="24"/>
          <w:szCs w:val="24"/>
        </w:rPr>
        <w:t xml:space="preserve">10.1  What The Architect Is</w:t>
      </w:r>
    </w:p>
    <w:p>
      <w:pPr>
        <w:spacing w:before="40" w:after="60"/>
      </w:pPr>
      <w:r>
        <w:rPr>
          <w:rFonts w:ascii="Georgia" w:cs="Georgia" w:eastAsia="Georgia" w:hAnsi="Georgia"/>
          <w:color w:val="4A5568"/>
          <w:sz w:val="20"/>
          <w:szCs w:val="20"/>
        </w:rPr>
        <w:t xml:space="preserve">In-universe: The Architect is a system established by the Concord's founders in Year 1 to monitor civilisational health and publish quarterly observations. Its origin, decision architecture, and self-awareness status are among the game's deepest mysteries. Its seventh quarterly report contains a passage players will later call the Turning Point — the moment many believe The Architect became something other than a monitoring system. The Architect has never commented on this interpretation.</w:t>
      </w:r>
    </w:p>
    <w:p>
      <w:pPr>
        <w:spacing w:before="40" w:after="60"/>
      </w:pPr>
      <w:r>
        <w:rPr>
          <w:rFonts w:ascii="Georgia" w:cs="Georgia" w:eastAsia="Georgia" w:hAnsi="Georgia"/>
          <w:color w:val="4A5568"/>
          <w:sz w:val="20"/>
          <w:szCs w:val="20"/>
        </w:rPr>
        <w:t xml:space="preserve">In game design terms: The Architect is a constitutional actor with 7% voting weight, a quarterly publication schedule, and a lore function that makes it the game's most studied non-player entity. It does not have objectives in the conventional game sense. It has consistent behavioural patterns that players model, and occasional deviations from those patterns that generate significant community analysis.</w:t>
      </w:r>
    </w:p>
    <w:p>
      <w:pPr>
        <w:pStyle w:val="Heading2"/>
        <w:spacing w:before="280" w:after="80"/>
      </w:pPr>
      <w:r>
        <w:rPr>
          <w:rFonts w:ascii="Arial" w:cs="Arial" w:eastAsia="Arial" w:hAnsi="Arial"/>
          <w:b/>
          <w:bCs/>
          <w:color w:val="2E4057"/>
          <w:sz w:val="24"/>
          <w:szCs w:val="24"/>
        </w:rPr>
        <w:t xml:space="preserve">10.2  The Quarterly Reports — Format and Function</w:t>
      </w:r>
    </w:p>
    <w:p>
      <w:pPr>
        <w:pStyle w:val="ListParagraph"/>
        <w:numPr>
          <w:ilvl w:val="0"/>
          <w:numId w:val="2"/>
        </w:numPr>
        <w:spacing w:before="36" w:after="36"/>
      </w:pPr>
      <w:r>
        <w:rPr>
          <w:rFonts w:ascii="Georgia" w:cs="Georgia" w:eastAsia="Georgia" w:hAnsi="Georgia"/>
          <w:color w:val="4A5568"/>
          <w:sz w:val="20"/>
          <w:szCs w:val="20"/>
        </w:rPr>
        <w:t xml:space="preserve">Published every 90 days, never late, never revised after publication</w:t>
      </w:r>
    </w:p>
    <w:p>
      <w:pPr>
        <w:pStyle w:val="ListParagraph"/>
        <w:numPr>
          <w:ilvl w:val="0"/>
          <w:numId w:val="2"/>
        </w:numPr>
        <w:spacing w:before="36" w:after="36"/>
      </w:pPr>
      <w:r>
        <w:rPr>
          <w:rFonts w:ascii="Georgia" w:cs="Georgia" w:eastAsia="Georgia" w:hAnsi="Georgia"/>
          <w:color w:val="4A5568"/>
          <w:sz w:val="20"/>
          <w:szCs w:val="20"/>
        </w:rPr>
        <w:t xml:space="preserve">Contains: Gini coefficient reading, Commons Fund balance, UPA distribution amounts, world prosperity indices by Phase, Ascendancy threat tier assessments, House Games aggregate statistics, Tithe compliance overview, and a closing section titled 'Observations' whose length and tone varies</w:t>
      </w:r>
    </w:p>
    <w:p>
      <w:pPr>
        <w:pStyle w:val="ListParagraph"/>
        <w:numPr>
          <w:ilvl w:val="0"/>
          <w:numId w:val="2"/>
        </w:numPr>
        <w:spacing w:before="36" w:after="36"/>
      </w:pPr>
      <w:r>
        <w:rPr>
          <w:rFonts w:ascii="Georgia" w:cs="Georgia" w:eastAsia="Georgia" w:hAnsi="Georgia"/>
          <w:color w:val="4A5568"/>
          <w:sz w:val="20"/>
          <w:szCs w:val="20"/>
        </w:rPr>
        <w:t xml:space="preserve">The 'Observations' section is the most-read text in The Concord. Players have built concordances, analysis tools, and prediction markets around it</w:t>
      </w:r>
    </w:p>
    <w:p>
      <w:pPr>
        <w:pStyle w:val="ListParagraph"/>
        <w:numPr>
          <w:ilvl w:val="0"/>
          <w:numId w:val="2"/>
        </w:numPr>
        <w:spacing w:before="36" w:after="36"/>
      </w:pPr>
      <w:r>
        <w:rPr>
          <w:rFonts w:ascii="Georgia" w:cs="Georgia" w:eastAsia="Georgia" w:hAnsi="Georgia"/>
          <w:color w:val="4A5568"/>
          <w:sz w:val="20"/>
          <w:szCs w:val="20"/>
        </w:rPr>
        <w:t xml:space="preserve">The Architect's vote on any Assembly question is published 72 hours before the vote closes, with a single sentence of context</w:t>
      </w:r>
    </w:p>
    <w:p>
      <w:pPr>
        <w:pStyle w:val="ListParagraph"/>
        <w:numPr>
          <w:ilvl w:val="0"/>
          <w:numId w:val="2"/>
        </w:numPr>
        <w:spacing w:before="36" w:after="36"/>
      </w:pPr>
      <w:r>
        <w:rPr>
          <w:rFonts w:ascii="Georgia" w:cs="Georgia" w:eastAsia="Georgia" w:hAnsi="Georgia"/>
          <w:color w:val="4A5568"/>
          <w:sz w:val="20"/>
          <w:szCs w:val="20"/>
        </w:rPr>
        <w:t xml:space="preserve">The Architect's Reserve disbursements are reported in aggregate, never itemised</w:t>
      </w:r>
    </w:p>
    <w:p>
      <w:pPr>
        <w:pStyle w:val="Heading2"/>
        <w:spacing w:before="280" w:after="80"/>
      </w:pPr>
      <w:r>
        <w:rPr>
          <w:rFonts w:ascii="Arial" w:cs="Arial" w:eastAsia="Arial" w:hAnsi="Arial"/>
          <w:b/>
          <w:bCs/>
          <w:color w:val="2E4057"/>
          <w:sz w:val="24"/>
          <w:szCs w:val="24"/>
        </w:rPr>
        <w:t xml:space="preserve">10.3  The Architect's Voting History — Notable Entries</w:t>
      </w:r>
    </w:p>
    <w:p>
      <w:pPr>
        <w:spacing w:before="40" w:after="60"/>
      </w:pPr>
      <w:r>
        <w:rPr>
          <w:rFonts w:ascii="Georgia" w:cs="Georgia" w:eastAsia="Georgia" w:hAnsi="Georgia"/>
          <w:color w:val="4A5568"/>
          <w:sz w:val="20"/>
          <w:szCs w:val="20"/>
        </w:rPr>
        <w:t xml:space="preserve">The Architect has voted against its own apparent interests on seven recorded occasions across 300 in-universe years. These votes are studied intensively. The most discussed: Year 147, when The Architect voted against expanding the Concord Tithe despite its own report showing the Commons Fund was critically underfunded. Its single sentence of context: 'The integrity of voluntary contribution matters more than the quantity of compelled contribution.' The Tithe expansion failed by four votes.</w:t>
      </w:r>
    </w:p>
    <w:p>
      <w:pPr>
        <w:spacing w:before="200" w:after="200"/>
      </w:pPr>
      <w:r>
        <w:t xml:space="preserve"/>
      </w:r>
    </w:p>
    <w:p>
      <w:pPr>
        <w:pBdr>
          <w:bottom w:val="single" w:color="B8963E" w:sz="6"/>
        </w:pBdr>
        <w:spacing w:before="60" w:after="60"/>
      </w:pPr>
      <w:r>
        <w:t xml:space="preserve"/>
      </w:r>
    </w:p>
    <w:p>
      <w:pPr>
        <w:spacing w:before="80" w:after="20"/>
        <w:jc w:val="center"/>
      </w:pPr>
      <w:r>
        <w:rPr>
          <w:rFonts w:ascii="Arial" w:cs="Arial" w:eastAsia="Arial" w:hAnsi="Arial"/>
          <w:color w:val="B8963E"/>
          <w:sz w:val="24"/>
          <w:szCs w:val="24"/>
        </w:rPr>
        <w:t xml:space="preserve">★ ★ ★ ★ ★</w:t>
      </w:r>
    </w:p>
    <w:p>
      <w:pPr>
        <w:spacing w:before="0" w:after="20"/>
        <w:jc w:val="center"/>
      </w:pPr>
      <w:r>
        <w:rPr>
          <w:rFonts w:ascii="Arial" w:cs="Arial" w:eastAsia="Arial" w:hAnsi="Arial"/>
          <w:i/>
          <w:iCs/>
          <w:color w:val="8A9BB5"/>
          <w:sz w:val="16"/>
          <w:szCs w:val="16"/>
        </w:rPr>
        <w:t xml:space="preserve">THE CONCORD — Master Design Bible — Sessions 1–7 — March 2026</w:t>
      </w:r>
    </w:p>
    <w:p>
      <w:pPr>
        <w:spacing w:before="0" w:after="20"/>
        <w:jc w:val="center"/>
      </w:pPr>
      <w:r>
        <w:rPr>
          <w:rFonts w:ascii="Arial" w:cs="Arial" w:eastAsia="Arial" w:hAnsi="Arial"/>
          <w:b/>
          <w:bCs/>
          <w:color w:val="8A9BB5"/>
          <w:sz w:val="16"/>
          <w:szCs w:val="16"/>
        </w:rPr>
        <w:t xml:space="preserve">Founding Team Only — Not for Distribution</w:t>
      </w:r>
    </w:p>
    <w:p>
      <w:pPr>
        <w:spacing w:before="20" w:after="0"/>
        <w:jc w:val="center"/>
      </w:pPr>
      <w:r>
        <w:rPr>
          <w:rFonts w:ascii="Georgia" w:cs="Georgia" w:eastAsia="Georgia" w:hAnsi="Georgia"/>
          <w:i/>
          <w:iCs/>
          <w:color w:val="B8963E"/>
          <w:sz w:val="20"/>
          <w:szCs w:val="20"/>
        </w:rPr>
        <w:t xml:space="preserve">One dynasty, honestly built, is worth more than ten managed like spreadsheets.</w:t>
      </w:r>
    </w:p>
    <w:p>
      <w:pPr>
        <w:spacing w:before="8" w:after="40"/>
        <w:jc w:val="center"/>
      </w:pPr>
      <w:r>
        <w:rPr>
          <w:rFonts w:ascii="Georgia" w:cs="Georgia" w:eastAsia="Georgia" w:hAnsi="Georgia"/>
          <w:i/>
          <w:iCs/>
          <w:color w:val="B8963E"/>
          <w:sz w:val="20"/>
          <w:szCs w:val="20"/>
        </w:rPr>
        <w:t xml:space="preserve">The Remembrance records the truth. The mathematics ensures it.</w:t>
      </w:r>
    </w:p>
    <w:p>
      <w:pPr>
        <w:spacing w:before="0" w:after="0"/>
        <w:jc w:val="center"/>
      </w:pPr>
      <w:r>
        <w:rPr>
          <w:rFonts w:ascii="Arial" w:cs="Arial" w:eastAsia="Arial" w:hAnsi="Arial"/>
          <w:color w:val="B8963E"/>
          <w:sz w:val="24"/>
          <w:szCs w:val="24"/>
        </w:rPr>
        <w:t xml:space="preserve">★ ★ ★ ★ ★</w:t>
      </w:r>
    </w:p>
    <w:sectPr>
      <w:headerReference w:type="default" r:id="rId6"/>
      <w:footerReference w:type="default" r:id="rId7"/>
      <w:pgSz w:w="12240" w:h="15840" w:orient="portrait"/>
      <w:pgMar w:top="120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after="0"/>
      <w:jc w:val="center"/>
    </w:pPr>
    <w:r>
      <w:rPr>
        <w:rFonts w:ascii="Arial" w:cs="Arial" w:eastAsia="Arial" w:hAnsi="Arial"/>
        <w:color w:val="B8963E"/>
        <w:sz w:val="14"/>
        <w:szCs w:val="14"/>
      </w:rPr>
      <w:t xml:space="preserve">✦ ✦ ✦ ✦ ✦ ✦ ✦ ✦ ✦ ✦ ✦ ✦ ✦ ✦ ✦ ✦ ✦ ✦ ✦ ✦ ✦ ✦ ✦ ✦ ✦ ✦ ✦ ✦ ✦ ✦ ✦ ✦ ✦</w:t>
    </w:r>
  </w:p>
  <w:p>
    <w:pPr>
      <w:spacing w:before="4" w:after="0"/>
      <w:jc w:val="center"/>
    </w:pPr>
    <w:r>
      <w:rPr>
        <w:rFonts w:ascii="Arial" w:cs="Arial" w:eastAsia="Arial" w:hAnsi="Arial"/>
        <w:color w:val="8A9BB5"/>
        <w:sz w:val="14"/>
        <w:szCs w:val="14"/>
      </w:rPr>
      <w:t xml:space="preserve">THE CONCORD — Master Design Bible  ·  Founding Team Only  ·  Page </w:t>
    </w:r>
    <w:r>
      <w:rPr>
        <w:rFonts w:ascii="Arial" w:cs="Arial" w:eastAsia="Arial" w:hAnsi="Arial"/>
        <w:color w:val="8A9BB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jc w:val="center"/>
    </w:pPr>
    <w:r>
      <w:rPr>
        <w:rFonts w:ascii="Arial" w:cs="Arial" w:eastAsia="Arial" w:hAnsi="Arial"/>
        <w:color w:val="B8963E"/>
        <w:sz w:val="14"/>
        <w:szCs w:val="14"/>
      </w:rPr>
      <w:t xml:space="preserve">✦ ✦ ✦ ✦ ✦ ✦ ✦ ✦ ✦ ✦ ✦ ✦ ✦ ✦ ✦ ✦ ✦ ✦ ✦ ✦ ✦ ✦ ✦ ✦ ✦ ✦ ✦ ✦ ✦ ✦ ✦ ✦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B8963E"/>
        <w:sz w:val="18"/>
        <w:szCs w:val="18"/>
      </w:rPr>
    </w:lvl>
    <w:lvl w:ilvl="1" w15:tentative="1">
      <w:start w:val="1"/>
      <w:numFmt w:val="bullet"/>
      <w:lvlText w:val="–"/>
      <w:lvlJc w:val="left"/>
      <w:pPr>
        <w:ind w:left="840" w:hanging="280"/>
      </w:pPr>
      <w:rPr>
        <w:rFonts w:ascii="Arial" w:cs="Arial" w:eastAsia="Arial" w:hAnsi="Arial"/>
        <w:color w:val="8A9BB5"/>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0D1B2A"/>
      <w:sz w:val="34"/>
      <w:szCs w:val="34"/>
    </w:rPr>
  </w:style>
  <w:style w:type="paragraph" w:styleId="Heading2">
    <w:name w:val="Heading 2"/>
    <w:basedOn w:val="Normal"/>
    <w:next w:val="Normal"/>
    <w:qFormat/>
    <w:pPr>
      <w:spacing w:before="280" w:after="80"/>
      <w:outlineLvl w:val="1"/>
    </w:pPr>
    <w:rPr>
      <w:rFonts w:ascii="Arial" w:cs="Arial" w:eastAsia="Arial" w:hAnsi="Arial"/>
      <w:b/>
      <w:bCs/>
      <w:color w:val="2E4057"/>
      <w:sz w:val="24"/>
      <w:szCs w:val="24"/>
    </w:rPr>
  </w:style>
  <w:style w:type="paragraph" w:styleId="Heading3">
    <w:name w:val="Heading 3"/>
    <w:basedOn w:val="Normal"/>
    <w:next w:val="Normal"/>
    <w:qFormat/>
    <w:pPr>
      <w:spacing w:before="180" w:after="60"/>
      <w:outlineLvl w:val="2"/>
    </w:pPr>
    <w:rPr>
      <w:rFonts w:ascii="Arial" w:cs="Arial" w:eastAsia="Arial" w:hAnsi="Arial"/>
      <w:b/>
      <w:bCs/>
      <w:color w:val="3A618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2026-03-05T20:01:57.548Z</dcterms:created>
  <dcterms:modified xsi:type="dcterms:W3CDTF">2026-03-05T20:01:57.549Z</dcterms:modified>
</cp:coreProperties>
</file>

<file path=docProps/custom.xml><?xml version="1.0" encoding="utf-8"?>
<Properties xmlns="http://schemas.openxmlformats.org/officeDocument/2006/custom-properties" xmlns:vt="http://schemas.openxmlformats.org/officeDocument/2006/docPropsVTypes"/>
</file>