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after="0"/>
        <w:jc w:val="center"/>
      </w:pPr>
      <w:r>
        <w:rPr>
          <w:rFonts w:ascii="Arial" w:cs="Arial" w:eastAsia="Arial" w:hAnsi="Arial"/>
          <w:color w:val="C9A84C"/>
          <w:sz w:val="36"/>
          <w:szCs w:val="36"/>
        </w:rPr>
        <w:t xml:space="preserve">★  ★  ★  ★  ★</w:t>
      </w:r>
    </w:p>
    <w:p>
      <w:pPr>
        <w:spacing w:before="80" w:after="0"/>
        <w:jc w:val="center"/>
      </w:pPr>
      <w:r>
        <w:rPr>
          <w:rFonts w:ascii="Arial" w:cs="Arial" w:eastAsia="Arial" w:hAnsi="Arial"/>
          <w:b/>
          <w:bCs/>
          <w:color w:val="0D1B2A"/>
          <w:sz w:val="112"/>
          <w:szCs w:val="112"/>
        </w:rPr>
        <w:t xml:space="preserve">THE CONCORD</w:t>
      </w:r>
    </w:p>
    <w:p>
      <w:pPr>
        <w:spacing w:before="80" w:after="80"/>
        <w:jc w:val="center"/>
      </w:pPr>
      <w:r>
        <w:rPr>
          <w:rFonts w:ascii="Arial" w:cs="Arial" w:eastAsia="Arial" w:hAnsi="Arial"/>
          <w:color w:val="C9A84C"/>
          <w:sz w:val="18"/>
          <w:szCs w:val="18"/>
        </w:rPr>
        <w:t xml:space="preserve">━━━━━━━━━━━━━━━━━━━━━━━━━━━━━━━━━━━━━━━━━━━━━</w:t>
      </w:r>
    </w:p>
    <w:p>
      <w:pPr>
        <w:spacing w:before="60" w:after="0"/>
        <w:jc w:val="center"/>
      </w:pPr>
      <w:r>
        <w:rPr>
          <w:rFonts w:ascii="Arial" w:cs="Arial" w:eastAsia="Arial" w:hAnsi="Arial"/>
          <w:b/>
          <w:bCs/>
          <w:color w:val="C9A84C"/>
          <w:sz w:val="44"/>
          <w:szCs w:val="44"/>
        </w:rPr>
        <w:t xml:space="preserve">MASTER DESIGN BIBLE</w:t>
      </w:r>
    </w:p>
    <w:p>
      <w:pPr>
        <w:spacing w:before="40" w:after="0"/>
        <w:jc w:val="center"/>
      </w:pPr>
      <w:r>
        <w:rPr>
          <w:rFonts w:ascii="Arial" w:cs="Arial" w:eastAsia="Arial" w:hAnsi="Arial"/>
          <w:i/>
          <w:iCs/>
          <w:color w:val="4A5568"/>
          <w:sz w:val="21"/>
          <w:szCs w:val="21"/>
        </w:rPr>
        <w:t xml:space="preserve">Vision  ·  Economy  ·  Governance  ·  Permanence  ·  The Voting Architect  ·  Estate &amp; Inheritance</w:t>
      </w:r>
    </w:p>
    <w:p>
      <w:pPr>
        <w:spacing w:before="30" w:after="0"/>
        <w:jc w:val="center"/>
      </w:pPr>
      <w:r>
        <w:rPr>
          <w:rFonts w:ascii="Arial" w:cs="Arial" w:eastAsia="Arial" w:hAnsi="Arial"/>
          <w:i/>
          <w:iCs/>
          <w:color w:val="8A9BB5"/>
          <w:sz w:val="18"/>
          <w:szCs w:val="18"/>
        </w:rPr>
        <w:t xml:space="preserve">Sessions 1–8  ·  March 2026  ·  Founding Team Only</w:t>
      </w:r>
    </w:p>
    <w:p>
      <w:pPr>
        <w:spacing w:before="80" w:after="0"/>
        <w:jc w:val="center"/>
      </w:pPr>
      <w:r>
        <w:rPr>
          <w:rFonts w:ascii="Arial" w:cs="Arial" w:eastAsia="Arial" w:hAnsi="Arial"/>
          <w:color w:val="C9A84C"/>
          <w:sz w:val="36"/>
          <w:szCs w:val="36"/>
        </w:rPr>
        <w:t xml:space="preserve">★  ★  ★  ★  ★</w:t>
      </w:r>
    </w:p>
    <w:p>
      <w:r>
        <w:br w:type="page"/>
      </w:r>
    </w:p>
    <w:p>
      <w:pPr>
        <w:shd w:fill="0D1B2A" w:val="clear"/>
        <w:spacing w:before="2200" w:after="0"/>
        <w:jc w:val="center"/>
      </w:pPr>
      <w:r>
        <w:rPr>
          <w:rFonts w:ascii="Arial" w:cs="Arial" w:eastAsia="Arial" w:hAnsi="Arial"/>
          <w:b/>
          <w:bCs/>
          <w:color w:val="C9A84C"/>
          <w:sz w:val="20"/>
          <w:szCs w:val="20"/>
        </w:rPr>
        <w:t xml:space="preserve">  SECTION I  </w:t>
      </w:r>
    </w:p>
    <w:p>
      <w:pPr>
        <w:spacing w:before="0" w:after="0"/>
        <w:jc w:val="center"/>
      </w:pPr>
      <w:r>
        <w:rPr>
          <w:rFonts w:ascii="Arial" w:cs="Arial" w:eastAsia="Arial" w:hAnsi="Arial"/>
          <w:b/>
          <w:bCs/>
          <w:color w:val="0D1B2A"/>
          <w:sz w:val="42"/>
          <w:szCs w:val="42"/>
        </w:rPr>
        <w:t xml:space="preserve">THE VISION &amp; CORE PHILOSOPHY</w:t>
      </w:r>
    </w:p>
    <w:p>
      <w:pPr>
        <w:spacing w:before="120" w:after="400"/>
        <w:jc w:val="center"/>
      </w:pPr>
      <w:r>
        <w:rPr>
          <w:rFonts w:ascii="Arial" w:cs="Arial" w:eastAsia="Arial" w:hAnsi="Arial"/>
          <w:color w:val="C9A84C"/>
          <w:sz w:val="18"/>
          <w:szCs w:val="18"/>
        </w:rPr>
        <w:t xml:space="preserve">━━━━━━━━━━━━━━━━━━━━━━━━━━━━━━━━━</w:t>
      </w:r>
    </w:p>
    <w:p>
      <w:pPr>
        <w:pStyle w:val="Heading1"/>
        <w:pageBreakBefore/>
        <w:pBdr>
          <w:bottom w:val="single" w:color="C9A84C" w:sz="12"/>
        </w:pBdr>
        <w:spacing w:before="0" w:after="200"/>
      </w:pPr>
      <w:r>
        <w:rPr>
          <w:rFonts w:ascii="Arial" w:cs="Arial" w:eastAsia="Arial" w:hAnsi="Arial"/>
          <w:b/>
          <w:bCs/>
          <w:color w:val="0D1B2A"/>
          <w:sz w:val="36"/>
          <w:szCs w:val="36"/>
        </w:rPr>
        <w:t xml:space="preserve">WHAT THE CONCORD IS</w:t>
      </w:r>
    </w:p>
    <w:p>
      <w:pPr>
        <w:pBdr>
          <w:left w:val="thick" w:color="C9A84C" w:sz="20"/>
        </w:pBdr>
        <w:spacing w:before="200" w:after="200"/>
        <w:ind w:left="720" w:right="480"/>
      </w:pPr>
      <w:r>
        <w:rPr>
          <w:rFonts w:ascii="Georgia" w:cs="Georgia" w:eastAsia="Georgia" w:hAnsi="Georgia"/>
          <w:i/>
          <w:iCs/>
          <w:color w:val="333333"/>
          <w:sz w:val="22"/>
          <w:szCs w:val="22"/>
        </w:rPr>
        <w:t xml:space="preserve">The Concord is not a game about winning. It is a game about what you leave behind. Civilisations rise and fall across 800 years of persistent history. Every dynasty that ever existed remains in the Remembrance. Nothing is erased. Everything is permanent. The mathematics decides what survives.</w:t>
      </w:r>
    </w:p>
    <w:p>
      <w:pPr>
        <w:spacing w:before="60" w:after="120"/>
      </w:pPr>
      <w:r>
        <w:rPr>
          <w:rFonts w:ascii="Georgia" w:cs="Georgia" w:eastAsia="Georgia" w:hAnsi="Georgia"/>
          <w:color w:val="4A5568"/>
          <w:sz w:val="22"/>
          <w:szCs w:val="22"/>
        </w:rPr>
        <w:t xml:space="preserve">The Concord is a persistent, single-shard, civilisational simulation spanning 600+ worlds, 800 years of in-universe history, and a player-driven economy governed by KALON. Players do not play characters. They steward dynasties — multi-generational houses whose decisions, alliances, betrayals, and legacies are permanently recorded in the Remembrance. The game runs 24 hours a day whether players are logged in or not.</w:t>
      </w:r>
    </w:p>
    <w:p>
      <w:pPr>
        <w:pStyle w:val="Heading2"/>
        <w:spacing w:before="360" w:after="140"/>
      </w:pPr>
      <w:r>
        <w:rPr>
          <w:rFonts w:ascii="Arial" w:cs="Arial" w:eastAsia="Arial" w:hAnsi="Arial"/>
          <w:b/>
          <w:bCs/>
          <w:color w:val="2E4057"/>
          <w:sz w:val="28"/>
          <w:szCs w:val="28"/>
        </w:rPr>
        <w:t xml:space="preserve">The Five Pillars</w:t>
      </w:r>
    </w:p>
    <w:p>
      <w:pPr>
        <w:spacing w:before="55" w:after="55"/>
        <w:ind w:left="400"/>
      </w:pPr>
      <w:r>
        <w:rPr>
          <w:rFonts w:ascii="Arial" w:cs="Arial" w:eastAsia="Arial" w:hAnsi="Arial"/>
          <w:color w:val="C9A84C"/>
          <w:sz w:val="22"/>
          <w:szCs w:val="22"/>
        </w:rPr>
        <w:t xml:space="preserve">▸  </w:t>
      </w:r>
      <w:r>
        <w:rPr>
          <w:rFonts w:ascii="Georgia" w:cs="Georgia" w:eastAsia="Georgia" w:hAnsi="Georgia"/>
          <w:b/>
          <w:bCs/>
          <w:color w:val="0D1B2A"/>
          <w:sz w:val="22"/>
          <w:szCs w:val="22"/>
        </w:rPr>
        <w:t xml:space="preserve">Permanence: </w:t>
      </w:r>
      <w:r>
        <w:rPr>
          <w:rFonts w:ascii="Georgia" w:cs="Georgia" w:eastAsia="Georgia" w:hAnsi="Georgia"/>
          <w:color w:val="4A5568"/>
          <w:sz w:val="22"/>
          <w:szCs w:val="22"/>
        </w:rPr>
        <w:t xml:space="preserve">Every decision is recorded. Nothing is undone. The Remembrance is an immutable historical archive. The most powerful thing in the game is what your dynasty did, not what it currently holds.</w:t>
      </w:r>
    </w:p>
    <w:p>
      <w:pPr>
        <w:spacing w:before="55" w:after="55"/>
        <w:ind w:left="400"/>
      </w:pPr>
      <w:r>
        <w:rPr>
          <w:rFonts w:ascii="Arial" w:cs="Arial" w:eastAsia="Arial" w:hAnsi="Arial"/>
          <w:color w:val="C9A84C"/>
          <w:sz w:val="22"/>
          <w:szCs w:val="22"/>
        </w:rPr>
        <w:t xml:space="preserve">▸  </w:t>
      </w:r>
      <w:r>
        <w:rPr>
          <w:rFonts w:ascii="Georgia" w:cs="Georgia" w:eastAsia="Georgia" w:hAnsi="Georgia"/>
          <w:b/>
          <w:bCs/>
          <w:color w:val="0D1B2A"/>
          <w:sz w:val="22"/>
          <w:szCs w:val="22"/>
        </w:rPr>
        <w:t xml:space="preserve">Provable Fairness: </w:t>
      </w:r>
      <w:r>
        <w:rPr>
          <w:rFonts w:ascii="Georgia" w:cs="Georgia" w:eastAsia="Georgia" w:hAnsi="Georgia"/>
          <w:color w:val="4A5568"/>
          <w:sz w:val="22"/>
          <w:szCs w:val="22"/>
        </w:rPr>
        <w:t xml:space="preserve">No cheat codes. No admin backdoors. All high-stakes results are cryptographically committed before they occur and publicly verifiable after. No party — including the studio — can manipulate outcomes.</w:t>
      </w:r>
    </w:p>
    <w:p>
      <w:pPr>
        <w:spacing w:before="55" w:after="55"/>
        <w:ind w:left="400"/>
      </w:pPr>
      <w:r>
        <w:rPr>
          <w:rFonts w:ascii="Arial" w:cs="Arial" w:eastAsia="Arial" w:hAnsi="Arial"/>
          <w:color w:val="C9A84C"/>
          <w:sz w:val="22"/>
          <w:szCs w:val="22"/>
        </w:rPr>
        <w:t xml:space="preserve">▸  </w:t>
      </w:r>
      <w:r>
        <w:rPr>
          <w:rFonts w:ascii="Georgia" w:cs="Georgia" w:eastAsia="Georgia" w:hAnsi="Georgia"/>
          <w:b/>
          <w:bCs/>
          <w:color w:val="0D1B2A"/>
          <w:sz w:val="22"/>
          <w:szCs w:val="22"/>
        </w:rPr>
        <w:t xml:space="preserve">Economic Integrity: </w:t>
      </w:r>
      <w:r>
        <w:rPr>
          <w:rFonts w:ascii="Georgia" w:cs="Georgia" w:eastAsia="Georgia" w:hAnsi="Georgia"/>
          <w:color w:val="4A5568"/>
          <w:sz w:val="22"/>
          <w:szCs w:val="22"/>
        </w:rPr>
        <w:t xml:space="preserve">KALON is a designed currency with progressive taxation and a Commons Fund. The Architect publishes quarterly economic reports. Wealth concentration is structurally prevented.</w:t>
      </w:r>
    </w:p>
    <w:p>
      <w:pPr>
        <w:spacing w:before="55" w:after="55"/>
        <w:ind w:left="400"/>
      </w:pPr>
      <w:r>
        <w:rPr>
          <w:rFonts w:ascii="Arial" w:cs="Arial" w:eastAsia="Arial" w:hAnsi="Arial"/>
          <w:color w:val="C9A84C"/>
          <w:sz w:val="22"/>
          <w:szCs w:val="22"/>
        </w:rPr>
        <w:t xml:space="preserve">▸  </w:t>
      </w:r>
      <w:r>
        <w:rPr>
          <w:rFonts w:ascii="Georgia" w:cs="Georgia" w:eastAsia="Georgia" w:hAnsi="Georgia"/>
          <w:b/>
          <w:bCs/>
          <w:color w:val="0D1B2A"/>
          <w:sz w:val="22"/>
          <w:szCs w:val="22"/>
        </w:rPr>
        <w:t xml:space="preserve">Community Governance: </w:t>
      </w:r>
      <w:r>
        <w:rPr>
          <w:rFonts w:ascii="Georgia" w:cs="Georgia" w:eastAsia="Georgia" w:hAnsi="Georgia"/>
          <w:color w:val="4A5568"/>
          <w:sz w:val="22"/>
          <w:szCs w:val="22"/>
        </w:rPr>
        <w:t xml:space="preserve">The Assembly has binding authority over defined questions. The Architect votes. No vote can override the Five Pillars.</w:t>
      </w:r>
    </w:p>
    <w:p>
      <w:pPr>
        <w:spacing w:before="55" w:after="55"/>
        <w:ind w:left="400"/>
      </w:pPr>
      <w:r>
        <w:rPr>
          <w:rFonts w:ascii="Arial" w:cs="Arial" w:eastAsia="Arial" w:hAnsi="Arial"/>
          <w:color w:val="C9A84C"/>
          <w:sz w:val="22"/>
          <w:szCs w:val="22"/>
        </w:rPr>
        <w:t xml:space="preserve">▸  </w:t>
      </w:r>
      <w:r>
        <w:rPr>
          <w:rFonts w:ascii="Georgia" w:cs="Georgia" w:eastAsia="Georgia" w:hAnsi="Georgia"/>
          <w:b/>
          <w:bCs/>
          <w:color w:val="0D1B2A"/>
          <w:sz w:val="22"/>
          <w:szCs w:val="22"/>
        </w:rPr>
        <w:t xml:space="preserve">Civilisational Depth: </w:t>
      </w:r>
      <w:r>
        <w:rPr>
          <w:rFonts w:ascii="Georgia" w:cs="Georgia" w:eastAsia="Georgia" w:hAnsi="Georgia"/>
          <w:color w:val="4A5568"/>
          <w:sz w:val="22"/>
          <w:szCs w:val="22"/>
        </w:rPr>
        <w:t xml:space="preserve">600+ worlds, 800 years, 12 principals, ~80 secondary, ~400+ tertiary characters. Player dynasties are first-class historical actors alongside studio-created figures.</w:t>
      </w:r>
    </w:p>
    <w:p>
      <w:pPr>
        <w:pStyle w:val="Heading2"/>
        <w:spacing w:before="360" w:after="140"/>
      </w:pPr>
      <w:r>
        <w:rPr>
          <w:rFonts w:ascii="Arial" w:cs="Arial" w:eastAsia="Arial" w:hAnsi="Arial"/>
          <w:b/>
          <w:bCs/>
          <w:color w:val="2E4057"/>
          <w:sz w:val="28"/>
          <w:szCs w:val="28"/>
        </w:rPr>
        <w:t xml:space="preserve">The Silfen Weave</w:t>
      </w:r>
    </w:p>
    <w:p>
      <w:pPr>
        <w:spacing w:before="60" w:after="120"/>
      </w:pPr>
      <w:r>
        <w:rPr>
          <w:rFonts w:ascii="Georgia" w:cs="Georgia" w:eastAsia="Georgia" w:hAnsi="Georgia"/>
          <w:color w:val="4A5568"/>
          <w:sz w:val="22"/>
          <w:szCs w:val="22"/>
        </w:rPr>
        <w:t xml:space="preserve">Transitions between worlds, Phases, and systems must be invisible. A player surveys a remote world and finds a Remembrance entry from a cartographer who died 200 years ago. They feel they have found something real, not crossed a system boundary. This is the architectural principle running through every design decision.</w:t>
      </w:r>
    </w:p>
    <w:p>
      <w:pPr>
        <w:pStyle w:val="Heading2"/>
        <w:spacing w:before="360" w:after="140"/>
      </w:pPr>
      <w:r>
        <w:rPr>
          <w:rFonts w:ascii="Arial" w:cs="Arial" w:eastAsia="Arial" w:hAnsi="Arial"/>
          <w:b/>
          <w:bCs/>
          <w:color w:val="2E4057"/>
          <w:sz w:val="28"/>
          <w:szCs w:val="28"/>
        </w:rPr>
        <w:t xml:space="preserve">The Five Phases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5760"/>
      </w:tblGrid>
      <w:tr>
        <w:tc>
          <w:tcPr>
            <w:tcW w:type="dxa" w:w="1200"/>
            <w:tcBorders>
              <w:top w:val="single" w:color="CCCCCC" w:sz="1"/>
              <w:left w:val="single" w:color="CCCCCC" w:sz="1"/>
              <w:bottom w:val="single" w:color="CCCCCC" w:sz="1"/>
              <w:right w:val="single" w:color="CCCCCC" w:sz="1"/>
            </w:tcBorders>
            <w:shd w:fill="0D1B2A" w:val="clear"/>
            <w:tcMar>
              <w:top w:type="dxa" w:w="90"/>
              <w:left w:type="dxa" w:w="150"/>
              <w:bottom w:type="dxa" w:w="90"/>
              <w:right w:type="dxa" w:w="150"/>
            </w:tcMar>
            <w:vAlign w:val="center"/>
          </w:tcPr>
          <w:p>
            <w:pPr>
              <w:jc w:val="left"/>
            </w:pPr>
            <w:r>
              <w:rPr>
                <w:rFonts w:ascii="Arial" w:cs="Arial" w:eastAsia="Arial" w:hAnsi="Arial"/>
                <w:b/>
                <w:bCs/>
                <w:color w:val="FFFFFF"/>
                <w:sz w:val="19"/>
                <w:szCs w:val="19"/>
              </w:rPr>
              <w:t xml:space="preserve">PHASE</w:t>
            </w:r>
          </w:p>
        </w:tc>
        <w:tc>
          <w:tcPr>
            <w:tcW w:type="dxa" w:w="2400"/>
            <w:tcBorders>
              <w:top w:val="single" w:color="CCCCCC" w:sz="1"/>
              <w:left w:val="single" w:color="CCCCCC" w:sz="1"/>
              <w:bottom w:val="single" w:color="CCCCCC" w:sz="1"/>
              <w:right w:val="single" w:color="CCCCCC" w:sz="1"/>
            </w:tcBorders>
            <w:shd w:fill="0D1B2A" w:val="clear"/>
            <w:tcMar>
              <w:top w:type="dxa" w:w="90"/>
              <w:left w:type="dxa" w:w="150"/>
              <w:bottom w:type="dxa" w:w="90"/>
              <w:right w:type="dxa" w:w="150"/>
            </w:tcMar>
            <w:vAlign w:val="center"/>
          </w:tcPr>
          <w:p>
            <w:pPr>
              <w:jc w:val="left"/>
            </w:pPr>
            <w:r>
              <w:rPr>
                <w:rFonts w:ascii="Arial" w:cs="Arial" w:eastAsia="Arial" w:hAnsi="Arial"/>
                <w:b/>
                <w:bCs/>
                <w:color w:val="FFFFFF"/>
                <w:sz w:val="19"/>
                <w:szCs w:val="19"/>
              </w:rPr>
              <w:t xml:space="preserve">ERA</w:t>
            </w:r>
          </w:p>
        </w:tc>
        <w:tc>
          <w:tcPr>
            <w:tcW w:type="dxa" w:w="5760"/>
            <w:tcBorders>
              <w:top w:val="single" w:color="CCCCCC" w:sz="1"/>
              <w:left w:val="single" w:color="CCCCCC" w:sz="1"/>
              <w:bottom w:val="single" w:color="CCCCCC" w:sz="1"/>
              <w:right w:val="single" w:color="CCCCCC" w:sz="1"/>
            </w:tcBorders>
            <w:shd w:fill="0D1B2A" w:val="clear"/>
            <w:tcMar>
              <w:top w:type="dxa" w:w="90"/>
              <w:left w:type="dxa" w:w="150"/>
              <w:bottom w:type="dxa" w:w="90"/>
              <w:right w:type="dxa" w:w="150"/>
            </w:tcMar>
            <w:vAlign w:val="center"/>
          </w:tcPr>
          <w:p>
            <w:pPr>
              <w:jc w:val="left"/>
            </w:pPr>
            <w:r>
              <w:rPr>
                <w:rFonts w:ascii="Arial" w:cs="Arial" w:eastAsia="Arial" w:hAnsi="Arial"/>
                <w:b/>
                <w:bCs/>
                <w:color w:val="FFFFFF"/>
                <w:sz w:val="19"/>
                <w:szCs w:val="19"/>
              </w:rPr>
              <w:t xml:space="preserve">CHARACTER</w:t>
            </w:r>
          </w:p>
        </w:tc>
      </w:tr>
      <w:tr>
        <w:tc>
          <w:tcPr>
            <w:tcW w:type="dxa" w:w="1200"/>
            <w:tcBorders>
              <w:top w:val="single" w:color="CCCCCC" w:sz="1"/>
              <w:left w:val="single" w:color="CCCCCC" w:sz="1"/>
              <w:bottom w:val="single" w:color="CCCCCC" w:sz="1"/>
              <w:right w:val="single" w:color="CCCCCC" w:sz="1"/>
            </w:tcBorders>
            <w:shd w:fill="F8F6F0" w:val="clear"/>
            <w:tcMar>
              <w:top w:type="dxa" w:w="90"/>
              <w:left w:type="dxa" w:w="150"/>
              <w:bottom w:type="dxa" w:w="90"/>
              <w:right w:type="dxa" w:w="150"/>
            </w:tcMar>
            <w:vAlign w:val="center"/>
          </w:tcPr>
          <w:p>
            <w:pPr>
              <w:jc w:val="left"/>
            </w:pPr>
            <w:r>
              <w:rPr>
                <w:rFonts w:ascii="Georgia" w:cs="Georgia" w:eastAsia="Georgia" w:hAnsi="Georgia"/>
                <w:b w:val="false"/>
                <w:bCs w:val="false"/>
                <w:color w:val="4A5568"/>
                <w:sz w:val="19"/>
                <w:szCs w:val="19"/>
              </w:rPr>
              <w:t xml:space="preserve">1 — The Founding</w:t>
            </w:r>
          </w:p>
        </w:tc>
        <w:tc>
          <w:tcPr>
            <w:tcW w:type="dxa" w:w="2400"/>
            <w:tcBorders>
              <w:top w:val="single" w:color="CCCCCC" w:sz="1"/>
              <w:left w:val="single" w:color="CCCCCC" w:sz="1"/>
              <w:bottom w:val="single" w:color="CCCCCC" w:sz="1"/>
              <w:right w:val="single" w:color="CCCCCC" w:sz="1"/>
            </w:tcBorders>
            <w:shd w:fill="F8F6F0" w:val="clear"/>
            <w:tcMar>
              <w:top w:type="dxa" w:w="90"/>
              <w:left w:type="dxa" w:w="150"/>
              <w:bottom w:type="dxa" w:w="90"/>
              <w:right w:type="dxa" w:w="150"/>
            </w:tcMar>
            <w:vAlign w:val="center"/>
          </w:tcPr>
          <w:p>
            <w:pPr>
              <w:jc w:val="left"/>
            </w:pPr>
            <w:r>
              <w:rPr>
                <w:rFonts w:ascii="Georgia" w:cs="Georgia" w:eastAsia="Georgia" w:hAnsi="Georgia"/>
                <w:b w:val="false"/>
                <w:bCs w:val="false"/>
                <w:color w:val="4A5568"/>
                <w:sz w:val="19"/>
                <w:szCs w:val="19"/>
              </w:rPr>
              <w:t xml:space="preserve">Survey, settle, establish</w:t>
            </w:r>
          </w:p>
        </w:tc>
        <w:tc>
          <w:tcPr>
            <w:tcW w:type="dxa" w:w="5760"/>
            <w:tcBorders>
              <w:top w:val="single" w:color="CCCCCC" w:sz="1"/>
              <w:left w:val="single" w:color="CCCCCC" w:sz="1"/>
              <w:bottom w:val="single" w:color="CCCCCC" w:sz="1"/>
              <w:right w:val="single" w:color="CCCCCC" w:sz="1"/>
            </w:tcBorders>
            <w:shd w:fill="F8F6F0" w:val="clear"/>
            <w:tcMar>
              <w:top w:type="dxa" w:w="90"/>
              <w:left w:type="dxa" w:w="150"/>
              <w:bottom w:type="dxa" w:w="90"/>
              <w:right w:type="dxa" w:w="150"/>
            </w:tcMar>
            <w:vAlign w:val="center"/>
          </w:tcPr>
          <w:p>
            <w:pPr>
              <w:jc w:val="left"/>
            </w:pPr>
            <w:r>
              <w:rPr>
                <w:rFonts w:ascii="Georgia" w:cs="Georgia" w:eastAsia="Georgia" w:hAnsi="Georgia"/>
                <w:b w:val="false"/>
                <w:bCs w:val="false"/>
                <w:color w:val="4A5568"/>
                <w:sz w:val="19"/>
                <w:szCs w:val="19"/>
              </w:rPr>
              <w:t xml:space="preserve">Dynasties claim worlds. The Assembly forms. The Ascendancy is a rumour in deep-space data.</w:t>
            </w:r>
          </w:p>
        </w:tc>
      </w:tr>
      <w:tr>
        <w:tc>
          <w:tcPr>
            <w:tcW w:type="dxa" w:w="12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vAlign w:val="center"/>
          </w:tcPr>
          <w:p>
            <w:pPr>
              <w:jc w:val="left"/>
            </w:pPr>
            <w:r>
              <w:rPr>
                <w:rFonts w:ascii="Georgia" w:cs="Georgia" w:eastAsia="Georgia" w:hAnsi="Georgia"/>
                <w:b w:val="false"/>
                <w:bCs w:val="false"/>
                <w:color w:val="4A5568"/>
                <w:sz w:val="19"/>
                <w:szCs w:val="19"/>
              </w:rPr>
              <w:t xml:space="preserve">2 — The Expansion</w:t>
            </w:r>
          </w:p>
        </w:tc>
        <w:tc>
          <w:tcPr>
            <w:tcW w:type="dxa" w:w="24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vAlign w:val="center"/>
          </w:tcPr>
          <w:p>
            <w:pPr>
              <w:jc w:val="left"/>
            </w:pPr>
            <w:r>
              <w:rPr>
                <w:rFonts w:ascii="Georgia" w:cs="Georgia" w:eastAsia="Georgia" w:hAnsi="Georgia"/>
                <w:b w:val="false"/>
                <w:bCs w:val="false"/>
                <w:color w:val="4A5568"/>
                <w:sz w:val="19"/>
                <w:szCs w:val="19"/>
              </w:rPr>
              <w:t xml:space="preserve">Trade routes, alliances consolidate</w:t>
            </w:r>
          </w:p>
        </w:tc>
        <w:tc>
          <w:tcPr>
            <w:tcW w:type="dxa" w:w="576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vAlign w:val="center"/>
          </w:tcPr>
          <w:p>
            <w:pPr>
              <w:jc w:val="left"/>
            </w:pPr>
            <w:r>
              <w:rPr>
                <w:rFonts w:ascii="Georgia" w:cs="Georgia" w:eastAsia="Georgia" w:hAnsi="Georgia"/>
                <w:b w:val="false"/>
                <w:bCs w:val="false"/>
                <w:color w:val="4A5568"/>
                <w:sz w:val="19"/>
                <w:szCs w:val="19"/>
              </w:rPr>
              <w:t xml:space="preserve">KALON economy matures. First Survival Marks awarded. The Architect's reports grow more specific.</w:t>
            </w:r>
          </w:p>
        </w:tc>
      </w:tr>
      <w:tr>
        <w:tc>
          <w:tcPr>
            <w:tcW w:type="dxa" w:w="1200"/>
            <w:tcBorders>
              <w:top w:val="single" w:color="CCCCCC" w:sz="1"/>
              <w:left w:val="single" w:color="CCCCCC" w:sz="1"/>
              <w:bottom w:val="single" w:color="CCCCCC" w:sz="1"/>
              <w:right w:val="single" w:color="CCCCCC" w:sz="1"/>
            </w:tcBorders>
            <w:shd w:fill="F8F6F0" w:val="clear"/>
            <w:tcMar>
              <w:top w:type="dxa" w:w="90"/>
              <w:left w:type="dxa" w:w="150"/>
              <w:bottom w:type="dxa" w:w="90"/>
              <w:right w:type="dxa" w:w="150"/>
            </w:tcMar>
            <w:vAlign w:val="center"/>
          </w:tcPr>
          <w:p>
            <w:pPr>
              <w:jc w:val="left"/>
            </w:pPr>
            <w:r>
              <w:rPr>
                <w:rFonts w:ascii="Georgia" w:cs="Georgia" w:eastAsia="Georgia" w:hAnsi="Georgia"/>
                <w:b w:val="false"/>
                <w:bCs w:val="false"/>
                <w:color w:val="4A5568"/>
                <w:sz w:val="19"/>
                <w:szCs w:val="19"/>
              </w:rPr>
              <w:t xml:space="preserve">3 — The Warning</w:t>
            </w:r>
          </w:p>
        </w:tc>
        <w:tc>
          <w:tcPr>
            <w:tcW w:type="dxa" w:w="2400"/>
            <w:tcBorders>
              <w:top w:val="single" w:color="CCCCCC" w:sz="1"/>
              <w:left w:val="single" w:color="CCCCCC" w:sz="1"/>
              <w:bottom w:val="single" w:color="CCCCCC" w:sz="1"/>
              <w:right w:val="single" w:color="CCCCCC" w:sz="1"/>
            </w:tcBorders>
            <w:shd w:fill="F8F6F0" w:val="clear"/>
            <w:tcMar>
              <w:top w:type="dxa" w:w="90"/>
              <w:left w:type="dxa" w:w="150"/>
              <w:bottom w:type="dxa" w:w="90"/>
              <w:right w:type="dxa" w:w="150"/>
            </w:tcMar>
            <w:vAlign w:val="center"/>
          </w:tcPr>
          <w:p>
            <w:pPr>
              <w:jc w:val="left"/>
            </w:pPr>
            <w:r>
              <w:rPr>
                <w:rFonts w:ascii="Georgia" w:cs="Georgia" w:eastAsia="Georgia" w:hAnsi="Georgia"/>
                <w:b w:val="false"/>
                <w:bCs w:val="false"/>
                <w:color w:val="4A5568"/>
                <w:sz w:val="19"/>
                <w:szCs w:val="19"/>
              </w:rPr>
              <w:t xml:space="preserve">Ascendancy incursions confirmed</w:t>
            </w:r>
          </w:p>
        </w:tc>
        <w:tc>
          <w:tcPr>
            <w:tcW w:type="dxa" w:w="5760"/>
            <w:tcBorders>
              <w:top w:val="single" w:color="CCCCCC" w:sz="1"/>
              <w:left w:val="single" w:color="CCCCCC" w:sz="1"/>
              <w:bottom w:val="single" w:color="CCCCCC" w:sz="1"/>
              <w:right w:val="single" w:color="CCCCCC" w:sz="1"/>
            </w:tcBorders>
            <w:shd w:fill="F8F6F0" w:val="clear"/>
            <w:tcMar>
              <w:top w:type="dxa" w:w="90"/>
              <w:left w:type="dxa" w:w="150"/>
              <w:bottom w:type="dxa" w:w="90"/>
              <w:right w:type="dxa" w:w="150"/>
            </w:tcMar>
            <w:vAlign w:val="center"/>
          </w:tcPr>
          <w:p>
            <w:pPr>
              <w:jc w:val="left"/>
            </w:pPr>
            <w:r>
              <w:rPr>
                <w:rFonts w:ascii="Georgia" w:cs="Georgia" w:eastAsia="Georgia" w:hAnsi="Georgia"/>
                <w:b w:val="false"/>
                <w:bCs w:val="false"/>
                <w:color w:val="4A5568"/>
                <w:sz w:val="19"/>
                <w:szCs w:val="19"/>
              </w:rPr>
              <w:t xml:space="preserve">Assembly debates response. The Architect's seventh report — The Turning Point.</w:t>
            </w:r>
          </w:p>
        </w:tc>
      </w:tr>
      <w:tr>
        <w:tc>
          <w:tcPr>
            <w:tcW w:type="dxa" w:w="12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vAlign w:val="center"/>
          </w:tcPr>
          <w:p>
            <w:pPr>
              <w:jc w:val="left"/>
            </w:pPr>
            <w:r>
              <w:rPr>
                <w:rFonts w:ascii="Georgia" w:cs="Georgia" w:eastAsia="Georgia" w:hAnsi="Georgia"/>
                <w:b w:val="false"/>
                <w:bCs w:val="false"/>
                <w:color w:val="4A5568"/>
                <w:sz w:val="19"/>
                <w:szCs w:val="19"/>
              </w:rPr>
              <w:t xml:space="preserve">4 — The Crisis</w:t>
            </w:r>
          </w:p>
        </w:tc>
        <w:tc>
          <w:tcPr>
            <w:tcW w:type="dxa" w:w="24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vAlign w:val="center"/>
          </w:tcPr>
          <w:p>
            <w:pPr>
              <w:jc w:val="left"/>
            </w:pPr>
            <w:r>
              <w:rPr>
                <w:rFonts w:ascii="Georgia" w:cs="Georgia" w:eastAsia="Georgia" w:hAnsi="Georgia"/>
                <w:b w:val="false"/>
                <w:bCs w:val="false"/>
                <w:color w:val="4A5568"/>
                <w:sz w:val="19"/>
                <w:szCs w:val="19"/>
              </w:rPr>
              <w:t xml:space="preserve">Active Ascendancy engagement</w:t>
            </w:r>
          </w:p>
        </w:tc>
        <w:tc>
          <w:tcPr>
            <w:tcW w:type="dxa" w:w="576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vAlign w:val="center"/>
          </w:tcPr>
          <w:p>
            <w:pPr>
              <w:jc w:val="left"/>
            </w:pPr>
            <w:r>
              <w:rPr>
                <w:rFonts w:ascii="Georgia" w:cs="Georgia" w:eastAsia="Georgia" w:hAnsi="Georgia"/>
                <w:b w:val="false"/>
                <w:bCs w:val="false"/>
                <w:color w:val="4A5568"/>
                <w:sz w:val="19"/>
                <w:szCs w:val="19"/>
              </w:rPr>
              <w:t xml:space="preserve">Worlds fall, adapt, or resist. Economy under stress. Silence Event cascade begins.</w:t>
            </w:r>
          </w:p>
        </w:tc>
      </w:tr>
      <w:tr>
        <w:tc>
          <w:tcPr>
            <w:tcW w:type="dxa" w:w="1200"/>
            <w:tcBorders>
              <w:top w:val="single" w:color="CCCCCC" w:sz="1"/>
              <w:left w:val="single" w:color="CCCCCC" w:sz="1"/>
              <w:bottom w:val="single" w:color="CCCCCC" w:sz="1"/>
              <w:right w:val="single" w:color="CCCCCC" w:sz="1"/>
            </w:tcBorders>
            <w:shd w:fill="F8F6F0" w:val="clear"/>
            <w:tcMar>
              <w:top w:type="dxa" w:w="90"/>
              <w:left w:type="dxa" w:w="150"/>
              <w:bottom w:type="dxa" w:w="90"/>
              <w:right w:type="dxa" w:w="150"/>
            </w:tcMar>
            <w:vAlign w:val="center"/>
          </w:tcPr>
          <w:p>
            <w:pPr>
              <w:jc w:val="left"/>
            </w:pPr>
            <w:r>
              <w:rPr>
                <w:rFonts w:ascii="Georgia" w:cs="Georgia" w:eastAsia="Georgia" w:hAnsi="Georgia"/>
                <w:b w:val="false"/>
                <w:bCs w:val="false"/>
                <w:color w:val="4A5568"/>
                <w:sz w:val="19"/>
                <w:szCs w:val="19"/>
              </w:rPr>
              <w:t xml:space="preserve">5 — The Reckoning</w:t>
            </w:r>
          </w:p>
        </w:tc>
        <w:tc>
          <w:tcPr>
            <w:tcW w:type="dxa" w:w="2400"/>
            <w:tcBorders>
              <w:top w:val="single" w:color="CCCCCC" w:sz="1"/>
              <w:left w:val="single" w:color="CCCCCC" w:sz="1"/>
              <w:bottom w:val="single" w:color="CCCCCC" w:sz="1"/>
              <w:right w:val="single" w:color="CCCCCC" w:sz="1"/>
            </w:tcBorders>
            <w:shd w:fill="F8F6F0" w:val="clear"/>
            <w:tcMar>
              <w:top w:type="dxa" w:w="90"/>
              <w:left w:type="dxa" w:w="150"/>
              <w:bottom w:type="dxa" w:w="90"/>
              <w:right w:type="dxa" w:w="150"/>
            </w:tcMar>
            <w:vAlign w:val="center"/>
          </w:tcPr>
          <w:p>
            <w:pPr>
              <w:jc w:val="left"/>
            </w:pPr>
            <w:r>
              <w:rPr>
                <w:rFonts w:ascii="Georgia" w:cs="Georgia" w:eastAsia="Georgia" w:hAnsi="Georgia"/>
                <w:b w:val="false"/>
                <w:bCs w:val="false"/>
                <w:color w:val="4A5568"/>
                <w:sz w:val="19"/>
                <w:szCs w:val="19"/>
              </w:rPr>
              <w:t xml:space="preserve">Resolution — 800 years resolved</w:t>
            </w:r>
          </w:p>
        </w:tc>
        <w:tc>
          <w:tcPr>
            <w:tcW w:type="dxa" w:w="5760"/>
            <w:tcBorders>
              <w:top w:val="single" w:color="CCCCCC" w:sz="1"/>
              <w:left w:val="single" w:color="CCCCCC" w:sz="1"/>
              <w:bottom w:val="single" w:color="CCCCCC" w:sz="1"/>
              <w:right w:val="single" w:color="CCCCCC" w:sz="1"/>
            </w:tcBorders>
            <w:shd w:fill="F8F6F0" w:val="clear"/>
            <w:tcMar>
              <w:top w:type="dxa" w:w="90"/>
              <w:left w:type="dxa" w:w="150"/>
              <w:bottom w:type="dxa" w:w="90"/>
              <w:right w:type="dxa" w:w="150"/>
            </w:tcMar>
            <w:vAlign w:val="center"/>
          </w:tcPr>
          <w:p>
            <w:pPr>
              <w:jc w:val="left"/>
            </w:pPr>
            <w:r>
              <w:rPr>
                <w:rFonts w:ascii="Georgia" w:cs="Georgia" w:eastAsia="Georgia" w:hAnsi="Georgia"/>
                <w:b w:val="false"/>
                <w:bCs w:val="false"/>
                <w:color w:val="4A5568"/>
                <w:sz w:val="19"/>
                <w:szCs w:val="19"/>
              </w:rPr>
              <w:t xml:space="preserve">Future determined by player decisions. The Remembrance closes its first cycle.</w:t>
            </w:r>
          </w:p>
        </w:tc>
      </w:tr>
    </w:tbl>
    <w:p>
      <w:r>
        <w:br w:type="page"/>
      </w:r>
    </w:p>
    <w:p>
      <w:pPr>
        <w:shd w:fill="0D1B2A" w:val="clear"/>
        <w:spacing w:before="2200" w:after="0"/>
        <w:jc w:val="center"/>
      </w:pPr>
      <w:r>
        <w:rPr>
          <w:rFonts w:ascii="Arial" w:cs="Arial" w:eastAsia="Arial" w:hAnsi="Arial"/>
          <w:b/>
          <w:bCs/>
          <w:color w:val="C9A84C"/>
          <w:sz w:val="20"/>
          <w:szCs w:val="20"/>
        </w:rPr>
        <w:t xml:space="preserve">  SECTION II  </w:t>
      </w:r>
    </w:p>
    <w:p>
      <w:pPr>
        <w:spacing w:before="0" w:after="0"/>
        <w:jc w:val="center"/>
      </w:pPr>
      <w:r>
        <w:rPr>
          <w:rFonts w:ascii="Arial" w:cs="Arial" w:eastAsia="Arial" w:hAnsi="Arial"/>
          <w:b/>
          <w:bCs/>
          <w:color w:val="0D1B2A"/>
          <w:sz w:val="42"/>
          <w:szCs w:val="42"/>
        </w:rPr>
        <w:t xml:space="preserve">KALON &amp; THE ECONOMY — DESIGNED AGAINST COLLAPSE</w:t>
      </w:r>
    </w:p>
    <w:p>
      <w:pPr>
        <w:spacing w:before="120" w:after="400"/>
        <w:jc w:val="center"/>
      </w:pPr>
      <w:r>
        <w:rPr>
          <w:rFonts w:ascii="Arial" w:cs="Arial" w:eastAsia="Arial" w:hAnsi="Arial"/>
          <w:color w:val="C9A84C"/>
          <w:sz w:val="18"/>
          <w:szCs w:val="18"/>
        </w:rPr>
        <w:t xml:space="preserve">━━━━━━━━━━━━━━━━━━━━━━━━━━━━━━━━━</w:t>
      </w:r>
    </w:p>
    <w:p>
      <w:pPr>
        <w:pStyle w:val="Heading1"/>
        <w:pageBreakBefore/>
        <w:pBdr>
          <w:bottom w:val="single" w:color="C9A84C" w:sz="12"/>
        </w:pBdr>
        <w:spacing w:before="0" w:after="200"/>
      </w:pPr>
      <w:r>
        <w:rPr>
          <w:rFonts w:ascii="Arial" w:cs="Arial" w:eastAsia="Arial" w:hAnsi="Arial"/>
          <w:b/>
          <w:bCs/>
          <w:color w:val="0D1B2A"/>
          <w:sz w:val="36"/>
          <w:szCs w:val="36"/>
        </w:rPr>
        <w:t xml:space="preserve">THE CURRENCY &amp; ITS ARCHITECTURE</w:t>
      </w:r>
    </w:p>
    <w:p>
      <w:pPr>
        <w:pBdr>
          <w:left w:val="thick" w:color="C9A84C" w:sz="20"/>
        </w:pBdr>
        <w:spacing w:before="200" w:after="200"/>
        <w:ind w:left="720" w:right="480"/>
      </w:pPr>
      <w:r>
        <w:rPr>
          <w:rFonts w:ascii="Georgia" w:cs="Georgia" w:eastAsia="Georgia" w:hAnsi="Georgia"/>
          <w:i/>
          <w:iCs/>
          <w:color w:val="333333"/>
          <w:sz w:val="22"/>
          <w:szCs w:val="22"/>
        </w:rPr>
        <w:t xml:space="preserve">Every unregulated virtual economy in history has produced a Gini coefficient above 0.9. Research on Minecraft economies found wealth ratios 1,000× worse than the real United States — with zero redistributive policy. The Concord is built on the opposite premise. The mathematics enforces it. The Architect monitors it. The Assembly debates it.</w:t>
      </w:r>
    </w:p>
    <w:p>
      <w:pPr>
        <w:pStyle w:val="Heading2"/>
        <w:spacing w:before="360" w:after="140"/>
      </w:pPr>
      <w:r>
        <w:rPr>
          <w:rFonts w:ascii="Arial" w:cs="Arial" w:eastAsia="Arial" w:hAnsi="Arial"/>
          <w:b/>
          <w:bCs/>
          <w:color w:val="2E4057"/>
          <w:sz w:val="28"/>
          <w:szCs w:val="28"/>
        </w:rPr>
        <w:t xml:space="preserve">2.1  KALON</w:t>
      </w:r>
    </w:p>
    <w:p>
      <w:pPr>
        <w:spacing w:before="60" w:after="120"/>
      </w:pPr>
      <w:r>
        <w:rPr>
          <w:rFonts w:ascii="Georgia" w:cs="Georgia" w:eastAsia="Georgia" w:hAnsi="Georgia"/>
          <w:color w:val="4A5568"/>
          <w:sz w:val="22"/>
          <w:szCs w:val="22"/>
        </w:rPr>
        <w:t xml:space="preserve">KALON (pronunciation: intentionally unspecified — the Assembly has debated this for 200 years) is The Concord's sole currency. Not purchased with real money. Earned through gameplay, distributed via subscription stipends, awarded for civic contributions, redistributed from the Commons Fund. Total supply fixed at genesis. Published. Immutable.</w:t>
      </w:r>
    </w:p>
    <w:p>
      <w:pPr>
        <w:pStyle w:val="Heading2"/>
        <w:spacing w:before="360" w:after="140"/>
      </w:pPr>
      <w:r>
        <w:rPr>
          <w:rFonts w:ascii="Arial" w:cs="Arial" w:eastAsia="Arial" w:hAnsi="Arial"/>
          <w:b/>
          <w:bCs/>
          <w:color w:val="2E4057"/>
          <w:sz w:val="28"/>
          <w:szCs w:val="28"/>
        </w:rPr>
        <w:t xml:space="preserve">2.2  The Three Wealth Zones</w:t>
      </w:r>
    </w:p>
    <w:p>
      <w:pPr>
        <w:spacing w:before="60" w:after="120"/>
      </w:pPr>
      <w:r>
        <w:rPr>
          <w:rFonts w:ascii="Georgia" w:cs="Georgia" w:eastAsia="Georgia" w:hAnsi="Georgia"/>
          <w:color w:val="4A5568"/>
          <w:sz w:val="22"/>
          <w:szCs w:val="22"/>
        </w:rPr>
        <w:t xml:space="preserve">All thresholds expressed as percentage of circulating supply — they scale with the economy automatically. The Gini Covenant ceiling of 0.60 cannot be overridden by any vote.</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0"/>
        <w:gridCol w:w="1480"/>
        <w:gridCol w:w="4560"/>
        <w:gridCol w:w="1640"/>
      </w:tblGrid>
      <w:tr>
        <w:tc>
          <w:tcPr>
            <w:tcW w:type="dxa" w:w="1680"/>
            <w:tcBorders>
              <w:top w:val="single" w:color="CCCCCC" w:sz="1"/>
              <w:left w:val="single" w:color="CCCCCC" w:sz="1"/>
              <w:bottom w:val="single" w:color="CCCCCC" w:sz="1"/>
              <w:right w:val="single" w:color="CCCCCC" w:sz="1"/>
            </w:tcBorders>
            <w:shd w:fill="0D1B2A" w:val="clear"/>
            <w:tcMar>
              <w:top w:type="dxa" w:w="90"/>
              <w:left w:type="dxa" w:w="150"/>
              <w:bottom w:type="dxa" w:w="90"/>
              <w:right w:type="dxa" w:w="150"/>
            </w:tcMar>
            <w:vAlign w:val="center"/>
          </w:tcPr>
          <w:p>
            <w:pPr>
              <w:jc w:val="left"/>
            </w:pPr>
            <w:r>
              <w:rPr>
                <w:rFonts w:ascii="Arial" w:cs="Arial" w:eastAsia="Arial" w:hAnsi="Arial"/>
                <w:b/>
                <w:bCs/>
                <w:color w:val="FFFFFF"/>
                <w:sz w:val="19"/>
                <w:szCs w:val="19"/>
              </w:rPr>
              <w:t xml:space="preserve">ZONE</w:t>
            </w:r>
          </w:p>
        </w:tc>
        <w:tc>
          <w:tcPr>
            <w:tcW w:type="dxa" w:w="1480"/>
            <w:tcBorders>
              <w:top w:val="single" w:color="CCCCCC" w:sz="1"/>
              <w:left w:val="single" w:color="CCCCCC" w:sz="1"/>
              <w:bottom w:val="single" w:color="CCCCCC" w:sz="1"/>
              <w:right w:val="single" w:color="CCCCCC" w:sz="1"/>
            </w:tcBorders>
            <w:shd w:fill="0D1B2A" w:val="clear"/>
            <w:tcMar>
              <w:top w:type="dxa" w:w="90"/>
              <w:left w:type="dxa" w:w="150"/>
              <w:bottom w:type="dxa" w:w="90"/>
              <w:right w:type="dxa" w:w="150"/>
            </w:tcMar>
            <w:vAlign w:val="center"/>
          </w:tcPr>
          <w:p>
            <w:pPr>
              <w:jc w:val="left"/>
            </w:pPr>
            <w:r>
              <w:rPr>
                <w:rFonts w:ascii="Arial" w:cs="Arial" w:eastAsia="Arial" w:hAnsi="Arial"/>
                <w:b/>
                <w:bCs/>
                <w:color w:val="FFFFFF"/>
                <w:sz w:val="19"/>
                <w:szCs w:val="19"/>
              </w:rPr>
              <w:t xml:space="preserve">THRESHOLD</w:t>
            </w:r>
          </w:p>
        </w:tc>
        <w:tc>
          <w:tcPr>
            <w:tcW w:type="dxa" w:w="4560"/>
            <w:tcBorders>
              <w:top w:val="single" w:color="CCCCCC" w:sz="1"/>
              <w:left w:val="single" w:color="CCCCCC" w:sz="1"/>
              <w:bottom w:val="single" w:color="CCCCCC" w:sz="1"/>
              <w:right w:val="single" w:color="CCCCCC" w:sz="1"/>
            </w:tcBorders>
            <w:shd w:fill="0D1B2A" w:val="clear"/>
            <w:tcMar>
              <w:top w:type="dxa" w:w="90"/>
              <w:left w:type="dxa" w:w="150"/>
              <w:bottom w:type="dxa" w:w="90"/>
              <w:right w:type="dxa" w:w="150"/>
            </w:tcMar>
            <w:vAlign w:val="center"/>
          </w:tcPr>
          <w:p>
            <w:pPr>
              <w:jc w:val="left"/>
            </w:pPr>
            <w:r>
              <w:rPr>
                <w:rFonts w:ascii="Arial" w:cs="Arial" w:eastAsia="Arial" w:hAnsi="Arial"/>
                <w:b/>
                <w:bCs/>
                <w:color w:val="FFFFFF"/>
                <w:sz w:val="19"/>
                <w:szCs w:val="19"/>
              </w:rPr>
              <w:t xml:space="preserve">MECHANISMS ACTIVE</w:t>
            </w:r>
          </w:p>
        </w:tc>
        <w:tc>
          <w:tcPr>
            <w:tcW w:type="dxa" w:w="1640"/>
            <w:tcBorders>
              <w:top w:val="single" w:color="CCCCCC" w:sz="1"/>
              <w:left w:val="single" w:color="CCCCCC" w:sz="1"/>
              <w:bottom w:val="single" w:color="CCCCCC" w:sz="1"/>
              <w:right w:val="single" w:color="CCCCCC" w:sz="1"/>
            </w:tcBorders>
            <w:shd w:fill="0D1B2A" w:val="clear"/>
            <w:tcMar>
              <w:top w:type="dxa" w:w="90"/>
              <w:left w:type="dxa" w:w="150"/>
              <w:bottom w:type="dxa" w:w="90"/>
              <w:right w:type="dxa" w:w="150"/>
            </w:tcMar>
            <w:vAlign w:val="center"/>
          </w:tcPr>
          <w:p>
            <w:pPr>
              <w:jc w:val="left"/>
            </w:pPr>
            <w:r>
              <w:rPr>
                <w:rFonts w:ascii="Arial" w:cs="Arial" w:eastAsia="Arial" w:hAnsi="Arial"/>
                <w:b/>
                <w:bCs/>
                <w:color w:val="FFFFFF"/>
                <w:sz w:val="19"/>
                <w:szCs w:val="19"/>
              </w:rPr>
              <w:t xml:space="preserve">VOTING</w:t>
            </w:r>
          </w:p>
        </w:tc>
      </w:tr>
      <w:tr>
        <w:tc>
          <w:tcPr>
            <w:tcW w:type="dxa" w:w="1680"/>
            <w:tcBorders>
              <w:top w:val="single" w:color="CCCCCC" w:sz="1"/>
              <w:left w:val="single" w:color="CCCCCC" w:sz="1"/>
              <w:bottom w:val="single" w:color="CCCCCC" w:sz="1"/>
              <w:right w:val="single" w:color="CCCCCC" w:sz="1"/>
            </w:tcBorders>
            <w:shd w:fill="F8F6F0" w:val="clear"/>
            <w:tcMar>
              <w:top w:type="dxa" w:w="90"/>
              <w:left w:type="dxa" w:w="150"/>
              <w:bottom w:type="dxa" w:w="90"/>
              <w:right w:type="dxa" w:w="150"/>
            </w:tcMar>
            <w:vAlign w:val="center"/>
          </w:tcPr>
          <w:p>
            <w:pPr>
              <w:jc w:val="left"/>
            </w:pPr>
            <w:r>
              <w:rPr>
                <w:rFonts w:ascii="Georgia" w:cs="Georgia" w:eastAsia="Georgia" w:hAnsi="Georgia"/>
                <w:b w:val="false"/>
                <w:bCs w:val="false"/>
                <w:color w:val="4A5568"/>
                <w:sz w:val="19"/>
                <w:szCs w:val="19"/>
              </w:rPr>
              <w:t xml:space="preserve">ACTIVE BAND</w:t>
            </w:r>
          </w:p>
        </w:tc>
        <w:tc>
          <w:tcPr>
            <w:tcW w:type="dxa" w:w="1480"/>
            <w:tcBorders>
              <w:top w:val="single" w:color="CCCCCC" w:sz="1"/>
              <w:left w:val="single" w:color="CCCCCC" w:sz="1"/>
              <w:bottom w:val="single" w:color="CCCCCC" w:sz="1"/>
              <w:right w:val="single" w:color="CCCCCC" w:sz="1"/>
            </w:tcBorders>
            <w:shd w:fill="F8F6F0" w:val="clear"/>
            <w:tcMar>
              <w:top w:type="dxa" w:w="90"/>
              <w:left w:type="dxa" w:w="150"/>
              <w:bottom w:type="dxa" w:w="90"/>
              <w:right w:type="dxa" w:w="150"/>
            </w:tcMar>
            <w:vAlign w:val="center"/>
          </w:tcPr>
          <w:p>
            <w:pPr>
              <w:jc w:val="left"/>
            </w:pPr>
            <w:r>
              <w:rPr>
                <w:rFonts w:ascii="Georgia" w:cs="Georgia" w:eastAsia="Georgia" w:hAnsi="Georgia"/>
                <w:b w:val="false"/>
                <w:bCs w:val="false"/>
                <w:color w:val="4A5568"/>
                <w:sz w:val="19"/>
                <w:szCs w:val="19"/>
              </w:rPr>
              <w:t xml:space="preserve">0 – 0.10%</w:t>
            </w:r>
          </w:p>
        </w:tc>
        <w:tc>
          <w:tcPr>
            <w:tcW w:type="dxa" w:w="4560"/>
            <w:tcBorders>
              <w:top w:val="single" w:color="CCCCCC" w:sz="1"/>
              <w:left w:val="single" w:color="CCCCCC" w:sz="1"/>
              <w:bottom w:val="single" w:color="CCCCCC" w:sz="1"/>
              <w:right w:val="single" w:color="CCCCCC" w:sz="1"/>
            </w:tcBorders>
            <w:shd w:fill="F8F6F0" w:val="clear"/>
            <w:tcMar>
              <w:top w:type="dxa" w:w="90"/>
              <w:left w:type="dxa" w:w="150"/>
              <w:bottom w:type="dxa" w:w="90"/>
              <w:right w:type="dxa" w:w="150"/>
            </w:tcMar>
            <w:vAlign w:val="center"/>
          </w:tcPr>
          <w:p>
            <w:pPr>
              <w:jc w:val="left"/>
            </w:pPr>
            <w:r>
              <w:rPr>
                <w:rFonts w:ascii="Georgia" w:cs="Georgia" w:eastAsia="Georgia" w:hAnsi="Georgia"/>
                <w:b w:val="false"/>
                <w:bCs w:val="false"/>
                <w:color w:val="4A5568"/>
                <w:sz w:val="19"/>
                <w:szCs w:val="19"/>
              </w:rPr>
              <w:t xml:space="preserve">Standard taxation. Full Lattice access. Normal UPA.</w:t>
            </w:r>
          </w:p>
        </w:tc>
        <w:tc>
          <w:tcPr>
            <w:tcW w:type="dxa" w:w="1640"/>
            <w:tcBorders>
              <w:top w:val="single" w:color="CCCCCC" w:sz="1"/>
              <w:left w:val="single" w:color="CCCCCC" w:sz="1"/>
              <w:bottom w:val="single" w:color="CCCCCC" w:sz="1"/>
              <w:right w:val="single" w:color="CCCCCC" w:sz="1"/>
            </w:tcBorders>
            <w:shd w:fill="F8F6F0" w:val="clear"/>
            <w:tcMar>
              <w:top w:type="dxa" w:w="90"/>
              <w:left w:type="dxa" w:w="150"/>
              <w:bottom w:type="dxa" w:w="90"/>
              <w:right w:type="dxa" w:w="150"/>
            </w:tcMar>
            <w:vAlign w:val="center"/>
          </w:tcPr>
          <w:p>
            <w:pPr>
              <w:jc w:val="left"/>
            </w:pPr>
            <w:r>
              <w:rPr>
                <w:rFonts w:ascii="Georgia" w:cs="Georgia" w:eastAsia="Georgia" w:hAnsi="Georgia"/>
                <w:b w:val="false"/>
                <w:bCs w:val="false"/>
                <w:color w:val="4A5568"/>
                <w:sz w:val="19"/>
                <w:szCs w:val="19"/>
              </w:rPr>
              <w:t xml:space="preserve">Scales with Civic Score</w:t>
            </w:r>
          </w:p>
        </w:tc>
      </w:tr>
      <w:tr>
        <w:tc>
          <w:tcPr>
            <w:tcW w:type="dxa" w:w="168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vAlign w:val="center"/>
          </w:tcPr>
          <w:p>
            <w:pPr>
              <w:jc w:val="left"/>
            </w:pPr>
            <w:r>
              <w:rPr>
                <w:rFonts w:ascii="Georgia" w:cs="Georgia" w:eastAsia="Georgia" w:hAnsi="Georgia"/>
                <w:b w:val="false"/>
                <w:bCs w:val="false"/>
                <w:color w:val="4A5568"/>
                <w:sz w:val="19"/>
                <w:szCs w:val="19"/>
              </w:rPr>
              <w:t xml:space="preserve">PROSPERITY TIER</w:t>
            </w:r>
          </w:p>
        </w:tc>
        <w:tc>
          <w:tcPr>
            <w:tcW w:type="dxa" w:w="148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vAlign w:val="center"/>
          </w:tcPr>
          <w:p>
            <w:pPr>
              <w:jc w:val="left"/>
            </w:pPr>
            <w:r>
              <w:rPr>
                <w:rFonts w:ascii="Georgia" w:cs="Georgia" w:eastAsia="Georgia" w:hAnsi="Georgia"/>
                <w:b w:val="false"/>
                <w:bCs w:val="false"/>
                <w:color w:val="4A5568"/>
                <w:sz w:val="19"/>
                <w:szCs w:val="19"/>
              </w:rPr>
              <w:t xml:space="preserve">0.10 – 0.30%</w:t>
            </w:r>
          </w:p>
        </w:tc>
        <w:tc>
          <w:tcPr>
            <w:tcW w:type="dxa" w:w="456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vAlign w:val="center"/>
          </w:tcPr>
          <w:p>
            <w:pPr>
              <w:jc w:val="left"/>
            </w:pPr>
            <w:r>
              <w:rPr>
                <w:rFonts w:ascii="Georgia" w:cs="Georgia" w:eastAsia="Georgia" w:hAnsi="Georgia"/>
                <w:b w:val="false"/>
                <w:bCs w:val="false"/>
                <w:color w:val="4A5568"/>
                <w:sz w:val="19"/>
                <w:szCs w:val="19"/>
              </w:rPr>
              <w:t xml:space="preserve">Progressive tax increases. Mandatory Tithe 1% quarterly. Voting weight plateaus.</w:t>
            </w:r>
          </w:p>
        </w:tc>
        <w:tc>
          <w:tcPr>
            <w:tcW w:type="dxa" w:w="164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vAlign w:val="center"/>
          </w:tcPr>
          <w:p>
            <w:pPr>
              <w:jc w:val="left"/>
            </w:pPr>
            <w:r>
              <w:rPr>
                <w:rFonts w:ascii="Georgia" w:cs="Georgia" w:eastAsia="Georgia" w:hAnsi="Georgia"/>
                <w:b w:val="false"/>
                <w:bCs w:val="false"/>
                <w:color w:val="4A5568"/>
                <w:sz w:val="19"/>
                <w:szCs w:val="19"/>
              </w:rPr>
              <w:t xml:space="preserve">Plateau — no increase</w:t>
            </w:r>
          </w:p>
        </w:tc>
      </w:tr>
      <w:tr>
        <w:tc>
          <w:tcPr>
            <w:tcW w:type="dxa" w:w="1680"/>
            <w:tcBorders>
              <w:top w:val="single" w:color="CCCCCC" w:sz="1"/>
              <w:left w:val="single" w:color="CCCCCC" w:sz="1"/>
              <w:bottom w:val="single" w:color="CCCCCC" w:sz="1"/>
              <w:right w:val="single" w:color="CCCCCC" w:sz="1"/>
            </w:tcBorders>
            <w:shd w:fill="F8F6F0" w:val="clear"/>
            <w:tcMar>
              <w:top w:type="dxa" w:w="90"/>
              <w:left w:type="dxa" w:w="150"/>
              <w:bottom w:type="dxa" w:w="90"/>
              <w:right w:type="dxa" w:w="150"/>
            </w:tcMar>
            <w:vAlign w:val="center"/>
          </w:tcPr>
          <w:p>
            <w:pPr>
              <w:jc w:val="left"/>
            </w:pPr>
            <w:r>
              <w:rPr>
                <w:rFonts w:ascii="Georgia" w:cs="Georgia" w:eastAsia="Georgia" w:hAnsi="Georgia"/>
                <w:b w:val="false"/>
                <w:bCs w:val="false"/>
                <w:color w:val="4A5568"/>
                <w:sz w:val="19"/>
                <w:szCs w:val="19"/>
              </w:rPr>
              <w:t xml:space="preserve">CONCENTRATION ALERT</w:t>
            </w:r>
          </w:p>
        </w:tc>
        <w:tc>
          <w:tcPr>
            <w:tcW w:type="dxa" w:w="1480"/>
            <w:tcBorders>
              <w:top w:val="single" w:color="CCCCCC" w:sz="1"/>
              <w:left w:val="single" w:color="CCCCCC" w:sz="1"/>
              <w:bottom w:val="single" w:color="CCCCCC" w:sz="1"/>
              <w:right w:val="single" w:color="CCCCCC" w:sz="1"/>
            </w:tcBorders>
            <w:shd w:fill="F8F6F0" w:val="clear"/>
            <w:tcMar>
              <w:top w:type="dxa" w:w="90"/>
              <w:left w:type="dxa" w:w="150"/>
              <w:bottom w:type="dxa" w:w="90"/>
              <w:right w:type="dxa" w:w="150"/>
            </w:tcMar>
            <w:vAlign w:val="center"/>
          </w:tcPr>
          <w:p>
            <w:pPr>
              <w:jc w:val="left"/>
            </w:pPr>
            <w:r>
              <w:rPr>
                <w:rFonts w:ascii="Georgia" w:cs="Georgia" w:eastAsia="Georgia" w:hAnsi="Georgia"/>
                <w:b w:val="false"/>
                <w:bCs w:val="false"/>
                <w:color w:val="4A5568"/>
                <w:sz w:val="19"/>
                <w:szCs w:val="19"/>
              </w:rPr>
              <w:t xml:space="preserve">0.30 – 0.50%</w:t>
            </w:r>
          </w:p>
        </w:tc>
        <w:tc>
          <w:tcPr>
            <w:tcW w:type="dxa" w:w="4560"/>
            <w:tcBorders>
              <w:top w:val="single" w:color="CCCCCC" w:sz="1"/>
              <w:left w:val="single" w:color="CCCCCC" w:sz="1"/>
              <w:bottom w:val="single" w:color="CCCCCC" w:sz="1"/>
              <w:right w:val="single" w:color="CCCCCC" w:sz="1"/>
            </w:tcBorders>
            <w:shd w:fill="F8F6F0" w:val="clear"/>
            <w:tcMar>
              <w:top w:type="dxa" w:w="90"/>
              <w:left w:type="dxa" w:w="150"/>
              <w:bottom w:type="dxa" w:w="90"/>
              <w:right w:type="dxa" w:w="150"/>
            </w:tcMar>
            <w:vAlign w:val="center"/>
          </w:tcPr>
          <w:p>
            <w:pPr>
              <w:jc w:val="left"/>
            </w:pPr>
            <w:r>
              <w:rPr>
                <w:rFonts w:ascii="Georgia" w:cs="Georgia" w:eastAsia="Georgia" w:hAnsi="Georgia"/>
                <w:b w:val="false"/>
                <w:bCs w:val="false"/>
                <w:color w:val="4A5568"/>
                <w:sz w:val="19"/>
                <w:szCs w:val="19"/>
              </w:rPr>
              <w:t xml:space="preserve">Accelerated tax. Tithe 2.5% quarterly. World expansion blocked. Architect flags publicly.</w:t>
            </w:r>
          </w:p>
        </w:tc>
        <w:tc>
          <w:tcPr>
            <w:tcW w:type="dxa" w:w="1640"/>
            <w:tcBorders>
              <w:top w:val="single" w:color="CCCCCC" w:sz="1"/>
              <w:left w:val="single" w:color="CCCCCC" w:sz="1"/>
              <w:bottom w:val="single" w:color="CCCCCC" w:sz="1"/>
              <w:right w:val="single" w:color="CCCCCC" w:sz="1"/>
            </w:tcBorders>
            <w:shd w:fill="F8F6F0" w:val="clear"/>
            <w:tcMar>
              <w:top w:type="dxa" w:w="90"/>
              <w:left w:type="dxa" w:w="150"/>
              <w:bottom w:type="dxa" w:w="90"/>
              <w:right w:type="dxa" w:w="150"/>
            </w:tcMar>
            <w:vAlign w:val="center"/>
          </w:tcPr>
          <w:p>
            <w:pPr>
              <w:jc w:val="left"/>
            </w:pPr>
            <w:r>
              <w:rPr>
                <w:rFonts w:ascii="Georgia" w:cs="Georgia" w:eastAsia="Georgia" w:hAnsi="Georgia"/>
                <w:b w:val="false"/>
                <w:bCs w:val="false"/>
                <w:color w:val="4A5568"/>
                <w:sz w:val="19"/>
                <w:szCs w:val="19"/>
              </w:rPr>
              <w:t xml:space="preserve">Diminishes above 0.30%</w:t>
            </w:r>
          </w:p>
        </w:tc>
      </w:tr>
      <w:tr>
        <w:tc>
          <w:tcPr>
            <w:tcW w:type="dxa" w:w="168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vAlign w:val="center"/>
          </w:tcPr>
          <w:p>
            <w:pPr>
              <w:jc w:val="left"/>
            </w:pPr>
            <w:r>
              <w:rPr>
                <w:rFonts w:ascii="Georgia" w:cs="Georgia" w:eastAsia="Georgia" w:hAnsi="Georgia"/>
                <w:b w:val="false"/>
                <w:bCs w:val="false"/>
                <w:color w:val="4A5568"/>
                <w:sz w:val="19"/>
                <w:szCs w:val="19"/>
              </w:rPr>
              <w:t xml:space="preserve">STRUCTURAL CAP</w:t>
            </w:r>
          </w:p>
        </w:tc>
        <w:tc>
          <w:tcPr>
            <w:tcW w:type="dxa" w:w="148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vAlign w:val="center"/>
          </w:tcPr>
          <w:p>
            <w:pPr>
              <w:jc w:val="left"/>
            </w:pPr>
            <w:r>
              <w:rPr>
                <w:rFonts w:ascii="Georgia" w:cs="Georgia" w:eastAsia="Georgia" w:hAnsi="Georgia"/>
                <w:b w:val="false"/>
                <w:bCs w:val="false"/>
                <w:color w:val="4A5568"/>
                <w:sz w:val="19"/>
                <w:szCs w:val="19"/>
              </w:rPr>
              <w:t xml:space="preserve">&gt; 0.50%</w:t>
            </w:r>
          </w:p>
        </w:tc>
        <w:tc>
          <w:tcPr>
            <w:tcW w:type="dxa" w:w="456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vAlign w:val="center"/>
          </w:tcPr>
          <w:p>
            <w:pPr>
              <w:jc w:val="left"/>
            </w:pPr>
            <w:r>
              <w:rPr>
                <w:rFonts w:ascii="Georgia" w:cs="Georgia" w:eastAsia="Georgia" w:hAnsi="Georgia"/>
                <w:b w:val="false"/>
                <w:bCs w:val="false"/>
                <w:color w:val="4A5568"/>
                <w:sz w:val="19"/>
                <w:szCs w:val="19"/>
              </w:rPr>
              <w:t xml:space="preserve">Hard ceiling. Excess auto-redirected to Commons Fund quarterly. No UPA while above.</w:t>
            </w:r>
          </w:p>
        </w:tc>
        <w:tc>
          <w:tcPr>
            <w:tcW w:type="dxa" w:w="164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vAlign w:val="center"/>
          </w:tcPr>
          <w:p>
            <w:pPr>
              <w:jc w:val="left"/>
            </w:pPr>
            <w:r>
              <w:rPr>
                <w:rFonts w:ascii="Georgia" w:cs="Georgia" w:eastAsia="Georgia" w:hAnsi="Georgia"/>
                <w:b w:val="false"/>
                <w:bCs w:val="false"/>
                <w:color w:val="4A5568"/>
                <w:sz w:val="19"/>
                <w:szCs w:val="19"/>
              </w:rPr>
              <w:t xml:space="preserve">Locked — no increment</w:t>
            </w:r>
          </w:p>
        </w:tc>
      </w:tr>
    </w:tbl>
    <w:p>
      <w:pPr>
        <w:spacing w:before="80" w:after="80"/>
      </w:pPr>
      <w:r>
        <w:t xml:space="preserve"/>
      </w:r>
    </w:p>
    <w:p>
      <w:pPr>
        <w:pStyle w:val="Heading2"/>
        <w:spacing w:before="360" w:after="140"/>
      </w:pPr>
      <w:r>
        <w:rPr>
          <w:rFonts w:ascii="Arial" w:cs="Arial" w:eastAsia="Arial" w:hAnsi="Arial"/>
          <w:b/>
          <w:bCs/>
          <w:color w:val="2E4057"/>
          <w:sz w:val="28"/>
          <w:szCs w:val="28"/>
        </w:rPr>
        <w:t xml:space="preserve">2.3  The Progressive Tax &amp; Concord Tithe</w:t>
      </w:r>
    </w:p>
    <w:p>
      <w:pPr>
        <w:spacing w:before="60" w:after="120"/>
      </w:pPr>
      <w:r>
        <w:rPr>
          <w:rFonts w:ascii="Georgia" w:cs="Georgia" w:eastAsia="Georgia" w:hAnsi="Georgia"/>
          <w:color w:val="4A5568"/>
          <w:sz w:val="22"/>
          <w:szCs w:val="22"/>
        </w:rPr>
        <w:t xml:space="preserve">Every KALON transaction incurs a progressive tax scaling with transaction size relative to sender's total holdings. Dynasties above the Prosperity Tier pay the Concord Tithe — a quarterly holdings tax. All proceeds flow to the Commons Fund. This is lore-consistent: the Assembly established the Tithe in Year 147. The Architect supported it. Players can read the debate in the Remembrance.</w:t>
      </w:r>
    </w:p>
    <w:p>
      <w:pPr>
        <w:pStyle w:val="Heading2"/>
        <w:spacing w:before="360" w:after="140"/>
      </w:pPr>
      <w:r>
        <w:rPr>
          <w:rFonts w:ascii="Arial" w:cs="Arial" w:eastAsia="Arial" w:hAnsi="Arial"/>
          <w:b/>
          <w:bCs/>
          <w:color w:val="2E4057"/>
          <w:sz w:val="28"/>
          <w:szCs w:val="28"/>
        </w:rPr>
        <w:t xml:space="preserve">2.4  The Commons Fund — Civilisational Infrastructure</w:t>
      </w:r>
    </w:p>
    <w:p>
      <w:pPr>
        <w:spacing w:before="55" w:after="55"/>
        <w:ind w:left="400"/>
      </w:pPr>
      <w:r>
        <w:rPr>
          <w:rFonts w:ascii="Arial" w:cs="Arial" w:eastAsia="Arial" w:hAnsi="Arial"/>
          <w:color w:val="C9A84C"/>
          <w:sz w:val="22"/>
          <w:szCs w:val="22"/>
        </w:rPr>
        <w:t xml:space="preserve">▸  </w:t>
      </w:r>
      <w:r>
        <w:rPr>
          <w:rFonts w:ascii="Georgia" w:cs="Georgia" w:eastAsia="Georgia" w:hAnsi="Georgia"/>
          <w:b/>
          <w:bCs/>
          <w:color w:val="0D1B2A"/>
          <w:sz w:val="22"/>
          <w:szCs w:val="22"/>
        </w:rPr>
        <w:t xml:space="preserve">New Dynasty Grants: </w:t>
      </w:r>
      <w:r>
        <w:rPr>
          <w:rFonts w:ascii="Georgia" w:cs="Georgia" w:eastAsia="Georgia" w:hAnsi="Georgia"/>
          <w:color w:val="4A5568"/>
          <w:sz w:val="22"/>
          <w:szCs w:val="22"/>
        </w:rPr>
        <w:t xml:space="preserve">Equal quarterly grants to dynasties active less than 90 days. New players always have a viable starting point.</w:t>
      </w:r>
    </w:p>
    <w:p>
      <w:pPr>
        <w:spacing w:before="55" w:after="55"/>
        <w:ind w:left="400"/>
      </w:pPr>
      <w:r>
        <w:rPr>
          <w:rFonts w:ascii="Arial" w:cs="Arial" w:eastAsia="Arial" w:hAnsi="Arial"/>
          <w:color w:val="C9A84C"/>
          <w:sz w:val="22"/>
          <w:szCs w:val="22"/>
        </w:rPr>
        <w:t xml:space="preserve">▸  </w:t>
      </w:r>
      <w:r>
        <w:rPr>
          <w:rFonts w:ascii="Georgia" w:cs="Georgia" w:eastAsia="Georgia" w:hAnsi="Georgia"/>
          <w:b/>
          <w:bCs/>
          <w:color w:val="0D1B2A"/>
          <w:sz w:val="22"/>
          <w:szCs w:val="22"/>
        </w:rPr>
        <w:t xml:space="preserve">World Infrastructure: </w:t>
      </w:r>
      <w:r>
        <w:rPr>
          <w:rFonts w:ascii="Georgia" w:cs="Georgia" w:eastAsia="Georgia" w:hAnsi="Georgia"/>
          <w:color w:val="4A5568"/>
          <w:sz w:val="22"/>
          <w:szCs w:val="22"/>
        </w:rPr>
        <w:t xml:space="preserve">Worlds petition the Assembly for support — Lattice upgrades, survey corps, defensive installations.</w:t>
      </w:r>
    </w:p>
    <w:p>
      <w:pPr>
        <w:spacing w:before="55" w:after="55"/>
        <w:ind w:left="400"/>
      </w:pPr>
      <w:r>
        <w:rPr>
          <w:rFonts w:ascii="Arial" w:cs="Arial" w:eastAsia="Arial" w:hAnsi="Arial"/>
          <w:color w:val="C9A84C"/>
          <w:sz w:val="22"/>
          <w:szCs w:val="22"/>
        </w:rPr>
        <w:t xml:space="preserve">▸  </w:t>
      </w:r>
      <w:r>
        <w:rPr>
          <w:rFonts w:ascii="Georgia" w:cs="Georgia" w:eastAsia="Georgia" w:hAnsi="Georgia"/>
          <w:b/>
          <w:bCs/>
          <w:color w:val="0D1B2A"/>
          <w:sz w:val="22"/>
          <w:szCs w:val="22"/>
        </w:rPr>
        <w:t xml:space="preserve">Civic Contribution Rewards: </w:t>
      </w:r>
      <w:r>
        <w:rPr>
          <w:rFonts w:ascii="Georgia" w:cs="Georgia" w:eastAsia="Georgia" w:hAnsi="Georgia"/>
          <w:color w:val="4A5568"/>
          <w:sz w:val="22"/>
          <w:szCs w:val="22"/>
        </w:rPr>
        <w:t xml:space="preserve">Voting power bonuses funded here — not by player-to-player KALON transfers.</w:t>
      </w:r>
    </w:p>
    <w:p>
      <w:pPr>
        <w:spacing w:before="55" w:after="55"/>
        <w:ind w:left="400"/>
      </w:pPr>
      <w:r>
        <w:rPr>
          <w:rFonts w:ascii="Arial" w:cs="Arial" w:eastAsia="Arial" w:hAnsi="Arial"/>
          <w:color w:val="C9A84C"/>
          <w:sz w:val="22"/>
          <w:szCs w:val="22"/>
        </w:rPr>
        <w:t xml:space="preserve">▸  </w:t>
      </w:r>
      <w:r>
        <w:rPr>
          <w:rFonts w:ascii="Georgia" w:cs="Georgia" w:eastAsia="Georgia" w:hAnsi="Georgia"/>
          <w:b/>
          <w:bCs/>
          <w:color w:val="0D1B2A"/>
          <w:sz w:val="22"/>
          <w:szCs w:val="22"/>
        </w:rPr>
        <w:t xml:space="preserve">The Architect's Reserve: </w:t>
      </w:r>
      <w:r>
        <w:rPr>
          <w:rFonts w:ascii="Georgia" w:cs="Georgia" w:eastAsia="Georgia" w:hAnsi="Georgia"/>
          <w:color w:val="4A5568"/>
          <w:sz w:val="22"/>
          <w:szCs w:val="22"/>
        </w:rPr>
        <w:t xml:space="preserve">Disbursements reported in aggregate only. Players speculate extensively about their purpose.</w:t>
      </w:r>
    </w:p>
    <w:p>
      <w:pPr>
        <w:pStyle w:val="Heading2"/>
        <w:spacing w:before="360" w:after="140"/>
      </w:pPr>
      <w:r>
        <w:rPr>
          <w:rFonts w:ascii="Arial" w:cs="Arial" w:eastAsia="Arial" w:hAnsi="Arial"/>
          <w:b/>
          <w:bCs/>
          <w:color w:val="2E4057"/>
          <w:sz w:val="28"/>
          <w:szCs w:val="28"/>
        </w:rPr>
        <w:t xml:space="preserve">2.5  The Entropy Principle — Designed Wealth Decay</w:t>
      </w:r>
    </w:p>
    <w:p>
      <w:pPr>
        <w:spacing w:before="60" w:after="120"/>
      </w:pPr>
      <w:r>
        <w:rPr>
          <w:rFonts w:ascii="Georgia" w:cs="Georgia" w:eastAsia="Georgia" w:hAnsi="Georgia"/>
          <w:color w:val="4A5568"/>
          <w:sz w:val="22"/>
          <w:szCs w:val="22"/>
        </w:rPr>
        <w:t xml:space="preserve">Large empires are expensive to maintain. Dynasty upkeep costs scale with empire size: diplomatic corps salaries, world infrastructure maintenance, Lattice gate fees, survey corps costs, security costs for Survivor Mark holders. Dormant wealth stockpiles erode. Active dynasties sustain large operations. The Architect monitors maintenance cost ratios and flags dynasties whose costs exceed income — a public signal that a great house may be in decline.</w:t>
      </w:r>
    </w:p>
    <w:p>
      <w:pPr>
        <w:pStyle w:val="Heading2"/>
        <w:spacing w:before="360" w:after="140"/>
      </w:pPr>
      <w:r>
        <w:rPr>
          <w:rFonts w:ascii="Arial" w:cs="Arial" w:eastAsia="Arial" w:hAnsi="Arial"/>
          <w:b/>
          <w:bCs/>
          <w:color w:val="2E4057"/>
          <w:sz w:val="28"/>
          <w:szCs w:val="28"/>
        </w:rPr>
        <w:t xml:space="preserve">2.6  The Transition Reserve</w:t>
      </w:r>
    </w:p>
    <w:p>
      <w:pPr>
        <w:spacing w:before="60" w:after="120"/>
      </w:pPr>
      <w:r>
        <w:rPr>
          <w:rFonts w:ascii="Georgia" w:cs="Georgia" w:eastAsia="Georgia" w:hAnsi="Georgia"/>
          <w:color w:val="4A5568"/>
          <w:sz w:val="22"/>
          <w:szCs w:val="22"/>
        </w:rPr>
        <w:t xml:space="preserve">25% of total KALON supply held in reserve at genesis. Purpose: absorb demand shock if the Founding Assembly Vote expands lineage counts from 1/2/3 to 2/4/6. If the vote passes, the Reserve releases proportionally into UPA distribution, maintaining price stability. If the vote fails, the Assembly votes on reallocation. The Architect reports its status quarterly.</w:t>
      </w:r>
    </w:p>
    <w:p>
      <w:r>
        <w:br w:type="page"/>
      </w:r>
    </w:p>
    <w:p>
      <w:pPr>
        <w:shd w:fill="0D1B2A" w:val="clear"/>
        <w:spacing w:before="2200" w:after="0"/>
        <w:jc w:val="center"/>
      </w:pPr>
      <w:r>
        <w:rPr>
          <w:rFonts w:ascii="Arial" w:cs="Arial" w:eastAsia="Arial" w:hAnsi="Arial"/>
          <w:b/>
          <w:bCs/>
          <w:color w:val="C9A84C"/>
          <w:sz w:val="20"/>
          <w:szCs w:val="20"/>
        </w:rPr>
        <w:t xml:space="preserve">  SECTION III  </w:t>
      </w:r>
    </w:p>
    <w:p>
      <w:pPr>
        <w:spacing w:before="0" w:after="0"/>
        <w:jc w:val="center"/>
      </w:pPr>
      <w:r>
        <w:rPr>
          <w:rFonts w:ascii="Arial" w:cs="Arial" w:eastAsia="Arial" w:hAnsi="Arial"/>
          <w:b/>
          <w:bCs/>
          <w:color w:val="0D1B2A"/>
          <w:sz w:val="42"/>
          <w:szCs w:val="42"/>
        </w:rPr>
        <w:t xml:space="preserve">CURRENCY CONTINUITY PROTOCOL</w:t>
      </w:r>
    </w:p>
    <w:p>
      <w:pPr>
        <w:spacing w:before="120" w:after="400"/>
        <w:jc w:val="center"/>
      </w:pPr>
      <w:r>
        <w:rPr>
          <w:rFonts w:ascii="Arial" w:cs="Arial" w:eastAsia="Arial" w:hAnsi="Arial"/>
          <w:color w:val="C9A84C"/>
          <w:sz w:val="18"/>
          <w:szCs w:val="18"/>
        </w:rPr>
        <w:t xml:space="preserve">━━━━━━━━━━━━━━━━━━━━━━━━━━━━━━━━━</w:t>
      </w:r>
    </w:p>
    <w:p>
      <w:pPr>
        <w:pStyle w:val="Heading1"/>
        <w:pageBreakBefore/>
        <w:pBdr>
          <w:bottom w:val="single" w:color="C9A84C" w:sz="12"/>
        </w:pBdr>
        <w:spacing w:before="0" w:after="200"/>
      </w:pPr>
      <w:r>
        <w:rPr>
          <w:rFonts w:ascii="Arial" w:cs="Arial" w:eastAsia="Arial" w:hAnsi="Arial"/>
          <w:b/>
          <w:bCs/>
          <w:color w:val="0D1B2A"/>
          <w:sz w:val="36"/>
          <w:szCs w:val="36"/>
        </w:rPr>
        <w:t xml:space="preserve">NINE SCENARIOS — KALON ALWAYS CIRCULATES</w:t>
      </w:r>
    </w:p>
    <w:p>
      <w:pPr>
        <w:pBdr>
          <w:left w:val="thick" w:color="C9A84C" w:sz="20"/>
        </w:pBdr>
        <w:spacing w:before="200" w:after="200"/>
        <w:ind w:left="720" w:right="480"/>
      </w:pPr>
      <w:r>
        <w:rPr>
          <w:rFonts w:ascii="Georgia" w:cs="Georgia" w:eastAsia="Georgia" w:hAnsi="Georgia"/>
          <w:i/>
          <w:iCs/>
          <w:color w:val="333333"/>
          <w:sz w:val="22"/>
          <w:szCs w:val="22"/>
        </w:rPr>
        <w:t xml:space="preserve">KALON that leaves circulation permanently is deflationary poison. The Concord has a designed circulatory system that keeps currency moving regardless of what players do — through dormancy, through lapse, through real-world death. The economy breathes without human intervention.</w:t>
      </w:r>
    </w:p>
    <w:p>
      <w:pPr>
        <w:pStyle w:val="Heading2"/>
        <w:spacing w:before="360" w:after="140"/>
      </w:pPr>
      <w:r>
        <w:rPr>
          <w:rFonts w:ascii="Arial" w:cs="Arial" w:eastAsia="Arial" w:hAnsi="Arial"/>
          <w:b/>
          <w:bCs/>
          <w:color w:val="2E4057"/>
          <w:sz w:val="28"/>
          <w:szCs w:val="28"/>
        </w:rPr>
        <w:t xml:space="preserve">3.1  The Nine Scenarios</w:t>
      </w:r>
    </w:p>
    <w:p>
      <w:pPr>
        <w:spacing w:before="60" w:after="60"/>
      </w:pPr>
      <w:r>
        <w:t xml:space="preserve"/>
      </w:r>
    </w:p>
    <w:p>
      <w:pPr>
        <w:spacing w:before="220" w:after="60"/>
      </w:pPr>
      <w:r>
        <w:rPr>
          <w:rFonts w:ascii="Arial" w:cs="Arial" w:eastAsia="Arial" w:hAnsi="Arial"/>
          <w:b/>
          <w:bCs/>
          <w:color w:val="1A5C3A"/>
          <w:sz w:val="22"/>
          <w:szCs w:val="22"/>
        </w:rPr>
        <w:t xml:space="preserve">SCENARIO 1 — Active paying, active playing</w:t>
      </w:r>
    </w:p>
    <w:p>
      <w:pPr>
        <w:spacing w:before="60" w:after="120"/>
      </w:pPr>
      <w:r>
        <w:rPr>
          <w:rFonts w:ascii="Georgia" w:cs="Georgia" w:eastAsia="Georgia" w:hAnsi="Georgia"/>
          <w:color w:val="4A5568"/>
          <w:sz w:val="22"/>
          <w:szCs w:val="22"/>
        </w:rPr>
        <w:t xml:space="preserve">No intervention. Normal economy. Maintenance costs run. Taxes run. The baseline.</w:t>
      </w:r>
    </w:p>
    <w:p>
      <w:pPr>
        <w:spacing w:before="40" w:after="40"/>
      </w:pPr>
      <w:r>
        <w:t xml:space="preserve"/>
      </w:r>
    </w:p>
    <w:p>
      <w:pPr>
        <w:spacing w:before="220" w:after="60"/>
      </w:pPr>
      <w:r>
        <w:rPr>
          <w:rFonts w:ascii="Arial" w:cs="Arial" w:eastAsia="Arial" w:hAnsi="Arial"/>
          <w:b/>
          <w:bCs/>
          <w:color w:val="D4860A"/>
          <w:sz w:val="22"/>
          <w:szCs w:val="22"/>
        </w:rPr>
        <w:t xml:space="preserve">SCENARIO 2 — Active paying, not playing (30–60 days)</w:t>
      </w:r>
    </w:p>
    <w:p>
      <w:pPr>
        <w:spacing w:before="60" w:after="120"/>
      </w:pPr>
      <w:r>
        <w:rPr>
          <w:rFonts w:ascii="Georgia" w:cs="Georgia" w:eastAsia="Georgia" w:hAnsi="Georgia"/>
          <w:color w:val="4A5568"/>
          <w:sz w:val="22"/>
          <w:szCs w:val="22"/>
        </w:rPr>
        <w:t xml:space="preserve">No special intervention — the subscription is current, the player is funding the game. Dynasty maintenance costs continue draining KALON proportional to empire size. A large dormant empire costs money to maintain. Realistic, not punitive. The player returns to find their empire slightly diminished but intact.</w:t>
      </w:r>
    </w:p>
    <w:p>
      <w:pPr>
        <w:spacing w:before="40" w:after="40"/>
      </w:pPr>
      <w:r>
        <w:t xml:space="preserve"/>
      </w:r>
    </w:p>
    <w:p>
      <w:pPr>
        <w:spacing w:before="220" w:after="60"/>
      </w:pPr>
      <w:r>
        <w:rPr>
          <w:rFonts w:ascii="Arial" w:cs="Arial" w:eastAsia="Arial" w:hAnsi="Arial"/>
          <w:b/>
          <w:bCs/>
          <w:color w:val="D4860A"/>
          <w:sz w:val="22"/>
          <w:szCs w:val="22"/>
        </w:rPr>
        <w:t xml:space="preserve">SCENARIO 3 — Active paying, not playing (60–90 days)</w:t>
      </w:r>
    </w:p>
    <w:p>
      <w:pPr>
        <w:spacing w:before="60" w:after="120"/>
      </w:pPr>
      <w:r>
        <w:rPr>
          <w:rFonts w:ascii="Georgia" w:cs="Georgia" w:eastAsia="Georgia" w:hAnsi="Georgia"/>
          <w:color w:val="4A5568"/>
          <w:sz w:val="22"/>
          <w:szCs w:val="22"/>
        </w:rPr>
        <w:t xml:space="preserve">Dormancy Warning triggers. Remembrance marks the dynasty 'Quiet — Season [X].' The Architect notes aggregate dormancy rates in its next quarterly report, without naming dynasties. World sovereignty enters 'Watchful' status — other dynasties can see the opportunity but cannot yet act. Gameplay for active players without punishing the dormant subscriber.</w:t>
      </w:r>
    </w:p>
    <w:p>
      <w:pPr>
        <w:spacing w:before="40" w:after="40"/>
      </w:pPr>
      <w:r>
        <w:t xml:space="preserve"/>
      </w:r>
    </w:p>
    <w:p>
      <w:pPr>
        <w:spacing w:before="220" w:after="60"/>
      </w:pPr>
      <w:r>
        <w:rPr>
          <w:rFonts w:ascii="Arial" w:cs="Arial" w:eastAsia="Arial" w:hAnsi="Arial"/>
          <w:b/>
          <w:bCs/>
          <w:color w:val="8B1A1A"/>
          <w:sz w:val="22"/>
          <w:szCs w:val="22"/>
        </w:rPr>
        <w:t xml:space="preserve">SCENARIO 4 — Subscription lapses, 0–90 days</w:t>
      </w:r>
    </w:p>
    <w:p>
      <w:pPr>
        <w:spacing w:before="60" w:after="120"/>
      </w:pPr>
      <w:r>
        <w:rPr>
          <w:rFonts w:ascii="Georgia" w:cs="Georgia" w:eastAsia="Georgia" w:hAnsi="Georgia"/>
          <w:color w:val="4A5568"/>
          <w:sz w:val="22"/>
          <w:szCs w:val="22"/>
        </w:rPr>
        <w:t xml:space="preserve">Digital Mortality Phase I begins. Dynasty enters Dormant status. World sovereignty transitions to Contested. KALON drifts toward Commons Fund at maintenance cost rate only. Fully reversible: the player can return, pay, and recover their position. The Remembrance records the dormancy.</w:t>
      </w:r>
    </w:p>
    <w:p>
      <w:pPr>
        <w:spacing w:before="40" w:after="40"/>
      </w:pPr>
      <w:r>
        <w:t xml:space="preserve"/>
      </w:r>
    </w:p>
    <w:p>
      <w:pPr>
        <w:spacing w:before="220" w:after="60"/>
      </w:pPr>
      <w:r>
        <w:rPr>
          <w:rFonts w:ascii="Arial" w:cs="Arial" w:eastAsia="Arial" w:hAnsi="Arial"/>
          <w:b/>
          <w:bCs/>
          <w:color w:val="8B1A1A"/>
          <w:sz w:val="22"/>
          <w:szCs w:val="22"/>
        </w:rPr>
        <w:t xml:space="preserve">SCENARIO 5 — Subscription lapses, 90–180 days</w:t>
      </w:r>
    </w:p>
    <w:p>
      <w:pPr>
        <w:spacing w:before="60" w:after="120"/>
      </w:pPr>
      <w:r>
        <w:rPr>
          <w:rFonts w:ascii="Georgia" w:cs="Georgia" w:eastAsia="Georgia" w:hAnsi="Georgia"/>
          <w:color w:val="4A5568"/>
          <w:sz w:val="22"/>
          <w:szCs w:val="22"/>
        </w:rPr>
        <w:t xml:space="preserve">KALON redistribution accelerates — maintenance costs plus 0.5% quarterly dormancy levy on total holdings. World sovereignty claims expire and release to open survey queue. Dynasty marked 'Dormant — Year [X].' Marks are retained permanently. A returning player finds their economic position reset but their complete history intact.</w:t>
      </w:r>
    </w:p>
    <w:p>
      <w:pPr>
        <w:spacing w:before="40" w:after="40"/>
      </w:pPr>
      <w:r>
        <w:t xml:space="preserve"/>
      </w:r>
    </w:p>
    <w:p>
      <w:pPr>
        <w:spacing w:before="220" w:after="60"/>
      </w:pPr>
      <w:r>
        <w:rPr>
          <w:rFonts w:ascii="Arial" w:cs="Arial" w:eastAsia="Arial" w:hAnsi="Arial"/>
          <w:b/>
          <w:bCs/>
          <w:color w:val="8B1A1A"/>
          <w:sz w:val="22"/>
          <w:szCs w:val="22"/>
        </w:rPr>
        <w:t xml:space="preserve">SCENARIO 6 — Subscription lapses, 180+ days</w:t>
      </w:r>
    </w:p>
    <w:p>
      <w:pPr>
        <w:spacing w:before="60" w:after="120"/>
      </w:pPr>
      <w:r>
        <w:rPr>
          <w:rFonts w:ascii="Georgia" w:cs="Georgia" w:eastAsia="Georgia" w:hAnsi="Georgia"/>
          <w:color w:val="4A5568"/>
          <w:sz w:val="22"/>
          <w:szCs w:val="22"/>
        </w:rPr>
        <w:t xml:space="preserve">KALON fully redistributed to Commons Fund via UPA to all active dynasties in the following quarter. Dynasty record sealed permanently: 'House [Name], [founding year] – [closing year].' A returning player creates a new dynasty with a Remembrance link: 'Successor House of [Name].' The history is honoured. The economy is refreshed.</w:t>
      </w:r>
    </w:p>
    <w:p>
      <w:pPr>
        <w:spacing w:before="40" w:after="40"/>
      </w:pPr>
      <w:r>
        <w:t xml:space="preserve"/>
      </w:r>
    </w:p>
    <w:p>
      <w:pPr>
        <w:spacing w:before="220" w:after="60"/>
      </w:pPr>
      <w:r>
        <w:rPr>
          <w:rFonts w:ascii="Arial" w:cs="Arial" w:eastAsia="Arial" w:hAnsi="Arial"/>
          <w:b/>
          <w:bCs/>
          <w:color w:val="3A5A7A"/>
          <w:sz w:val="22"/>
          <w:szCs w:val="22"/>
        </w:rPr>
        <w:t xml:space="preserve">SCENARIO 7 — Studio closure</w:t>
      </w:r>
    </w:p>
    <w:p>
      <w:pPr>
        <w:spacing w:before="60" w:after="120"/>
      </w:pPr>
      <w:r>
        <w:rPr>
          <w:rFonts w:ascii="Georgia" w:cs="Georgia" w:eastAsia="Georgia" w:hAnsi="Georgia"/>
          <w:color w:val="4A5568"/>
          <w:sz w:val="22"/>
          <w:szCs w:val="22"/>
        </w:rPr>
        <w:t xml:space="preserve">Committed publicly from launch day: complete Remembrance archive published as free downloadable dataset. Engine source code released under open licence. Dynasty Marks migrate to a public blockchain contract as permanent historical artefacts. The community that built this civilisation deserves to keep its record.</w:t>
      </w:r>
    </w:p>
    <w:p>
      <w:pPr>
        <w:spacing w:before="40" w:after="40"/>
      </w:pPr>
      <w:r>
        <w:t xml:space="preserve"/>
      </w:r>
    </w:p>
    <w:p>
      <w:pPr>
        <w:spacing w:before="220" w:after="60"/>
      </w:pPr>
      <w:r>
        <w:rPr>
          <w:rFonts w:ascii="Arial" w:cs="Arial" w:eastAsia="Arial" w:hAnsi="Arial"/>
          <w:b/>
          <w:bCs/>
          <w:color w:val="3A5A7A"/>
          <w:sz w:val="22"/>
          <w:szCs w:val="22"/>
        </w:rPr>
        <w:t xml:space="preserve">SCENARIO 8 — Multi-dynasty account, partial lapse</w:t>
      </w:r>
    </w:p>
    <w:p>
      <w:pPr>
        <w:spacing w:before="60" w:after="120"/>
      </w:pPr>
      <w:r>
        <w:rPr>
          <w:rFonts w:ascii="Georgia" w:cs="Georgia" w:eastAsia="Georgia" w:hAnsi="Georgia"/>
          <w:color w:val="4A5568"/>
          <w:sz w:val="22"/>
          <w:szCs w:val="22"/>
        </w:rPr>
        <w:t xml:space="preserve">A Herald subscriber (3 dynasties) whose subscription lapses enters Digital Mortality on all three simultaneously. On return at a lower tier, one dynasty is designated for restoration via Restoration Protocol. The other two complete their Digital Mortality sequence. The Remembrance records all three outcomes.</w:t>
      </w:r>
    </w:p>
    <w:p>
      <w:pPr>
        <w:spacing w:before="40" w:after="40"/>
      </w:pPr>
      <w:r>
        <w:t xml:space="preserve"/>
      </w:r>
    </w:p>
    <w:p>
      <w:pPr>
        <w:spacing w:before="220" w:after="60"/>
      </w:pPr>
      <w:r>
        <w:rPr>
          <w:rFonts w:ascii="Arial" w:cs="Arial" w:eastAsia="Arial" w:hAnsi="Arial"/>
          <w:b/>
          <w:bCs/>
          <w:color w:val="2E4057"/>
          <w:sz w:val="22"/>
          <w:szCs w:val="22"/>
        </w:rPr>
        <w:t xml:space="preserve">SCENARIO 9 — Real-world death</w:t>
      </w:r>
    </w:p>
    <w:p>
      <w:pPr>
        <w:spacing w:before="60" w:after="120"/>
      </w:pPr>
      <w:r>
        <w:rPr>
          <w:rFonts w:ascii="Georgia" w:cs="Georgia" w:eastAsia="Georgia" w:hAnsi="Georgia"/>
          <w:color w:val="4A5568"/>
          <w:sz w:val="22"/>
          <w:szCs w:val="22"/>
        </w:rPr>
        <w:t xml:space="preserve">Handled by the Inheritance Protocol and In Abeyance architecture below. This scenario has its own design because it deserves genuine care.</w:t>
      </w:r>
    </w:p>
    <w:p>
      <w:pPr>
        <w:pStyle w:val="Heading2"/>
        <w:spacing w:before="360" w:after="140"/>
      </w:pPr>
      <w:r>
        <w:rPr>
          <w:rFonts w:ascii="Arial" w:cs="Arial" w:eastAsia="Arial" w:hAnsi="Arial"/>
          <w:b/>
          <w:bCs/>
          <w:color w:val="2E4057"/>
          <w:sz w:val="28"/>
          <w:szCs w:val="28"/>
        </w:rPr>
        <w:t xml:space="preserve">3.2  The Inheritance Protocol — Two Tracks</w:t>
      </w:r>
    </w:p>
    <w:p>
      <w:pPr>
        <w:spacing w:before="60" w:after="120"/>
      </w:pPr>
      <w:r>
        <w:rPr>
          <w:rFonts w:ascii="Georgia" w:cs="Georgia" w:eastAsia="Georgia" w:hAnsi="Georgia"/>
          <w:color w:val="4A5568"/>
          <w:sz w:val="22"/>
          <w:szCs w:val="22"/>
        </w:rPr>
        <w:t xml:space="preserve">Any player may designate an heir in account settings — a named person with contact information, changeable at any time. When an account goes silent for 90 days, a Dormancy Notice is sent to the registered email. If a designated heir contacts support within 90 days of that notice with documentation confirming the account holder's death, the dynasty enters Track B.</w:t>
      </w:r>
    </w:p>
    <w:p>
      <w:pPr>
        <w:spacing w:before="55" w:after="55"/>
        <w:ind w:left="400"/>
      </w:pPr>
      <w:r>
        <w:rPr>
          <w:rFonts w:ascii="Arial" w:cs="Arial" w:eastAsia="Arial" w:hAnsi="Arial"/>
          <w:color w:val="C9A84C"/>
          <w:sz w:val="22"/>
          <w:szCs w:val="22"/>
        </w:rPr>
        <w:t xml:space="preserve">▸  </w:t>
      </w:r>
      <w:r>
        <w:rPr>
          <w:rFonts w:ascii="Georgia" w:cs="Georgia" w:eastAsia="Georgia" w:hAnsi="Georgia"/>
          <w:b/>
          <w:bCs/>
          <w:color w:val="0D1B2A"/>
          <w:sz w:val="22"/>
          <w:szCs w:val="22"/>
        </w:rPr>
        <w:t xml:space="preserve">Track A — Standard Digital Mortality: </w:t>
      </w:r>
      <w:r>
        <w:rPr>
          <w:rFonts w:ascii="Georgia" w:cs="Georgia" w:eastAsia="Georgia" w:hAnsi="Georgia"/>
          <w:color w:val="4A5568"/>
          <w:sz w:val="22"/>
          <w:szCs w:val="22"/>
        </w:rPr>
        <w:t xml:space="preserve">Runs for all accounts with no inheritance claim. No exceptions, no extensions. The rule for everyone.</w:t>
      </w:r>
    </w:p>
    <w:p>
      <w:pPr>
        <w:spacing w:before="55" w:after="55"/>
        <w:ind w:left="400"/>
      </w:pPr>
      <w:r>
        <w:rPr>
          <w:rFonts w:ascii="Arial" w:cs="Arial" w:eastAsia="Arial" w:hAnsi="Arial"/>
          <w:color w:val="C9A84C"/>
          <w:sz w:val="22"/>
          <w:szCs w:val="22"/>
        </w:rPr>
        <w:t xml:space="preserve">▸  </w:t>
      </w:r>
      <w:r>
        <w:rPr>
          <w:rFonts w:ascii="Georgia" w:cs="Georgia" w:eastAsia="Georgia" w:hAnsi="Georgia"/>
          <w:b/>
          <w:bCs/>
          <w:color w:val="0D1B2A"/>
          <w:sz w:val="22"/>
          <w:szCs w:val="22"/>
        </w:rPr>
        <w:t xml:space="preserve">Track B — Inheritance Protocol: </w:t>
      </w:r>
      <w:r>
        <w:rPr>
          <w:rFonts w:ascii="Georgia" w:cs="Georgia" w:eastAsia="Georgia" w:hAnsi="Georgia"/>
          <w:color w:val="4A5568"/>
          <w:sz w:val="22"/>
          <w:szCs w:val="22"/>
        </w:rPr>
        <w:t xml:space="preserve">Activated only by a pre-designated heir with documentation within 90 days of Dormancy Notice. Dynasty placed In Abeyance. All timelines pause up to 365 days from contact date. The heir subscribes at any tier and assumes stewardship. The Remembrance records the transfer.</w:t>
      </w:r>
    </w:p>
    <w:p>
      <w:pPr>
        <w:pStyle w:val="Heading2"/>
        <w:spacing w:before="360" w:after="140"/>
      </w:pPr>
      <w:r>
        <w:rPr>
          <w:rFonts w:ascii="Arial" w:cs="Arial" w:eastAsia="Arial" w:hAnsi="Arial"/>
          <w:b/>
          <w:bCs/>
          <w:color w:val="2E4057"/>
          <w:sz w:val="28"/>
          <w:szCs w:val="28"/>
        </w:rPr>
        <w:t xml:space="preserve">3.3  In Abeyance</w:t>
      </w:r>
    </w:p>
    <w:p>
      <w:pPr>
        <w:spacing w:before="60" w:after="120"/>
      </w:pPr>
      <w:r>
        <w:rPr>
          <w:rFonts w:ascii="Georgia" w:cs="Georgia" w:eastAsia="Georgia" w:hAnsi="Georgia"/>
          <w:color w:val="4A5568"/>
          <w:sz w:val="22"/>
          <w:szCs w:val="22"/>
        </w:rPr>
        <w:t xml:space="preserve">'In Abeyance' is a real heraldic and legal term — a title or claim that exists but has no current holder, awaiting the rightful heir. In The Concord, the Remembrance records: 'House [Name] — In Abeyance — Season [X].' Not dead. Suspended. All standard drainage protocols apply at reduced rate during Abeyance. The estate diminishes slowly but does not disappear. After two years without heir activation, the estate moves to the Dispersal Queue.</w:t>
      </w:r>
    </w:p>
    <w:p>
      <w:pPr>
        <w:pBdr>
          <w:left w:val="thick" w:color="C9A84C" w:sz="20"/>
        </w:pBdr>
        <w:spacing w:before="200" w:after="200"/>
        <w:ind w:left="720" w:right="480"/>
      </w:pPr>
      <w:r>
        <w:rPr>
          <w:rFonts w:ascii="Georgia" w:cs="Georgia" w:eastAsia="Georgia" w:hAnsi="Georgia"/>
          <w:i/>
          <w:iCs/>
          <w:color w:val="333333"/>
          <w:sz w:val="22"/>
          <w:szCs w:val="22"/>
        </w:rPr>
        <w:t xml:space="preserve">The Architect notes in aggregate how many houses currently stand In Abeyance. It has never named one by name in this context. Players find this appropriate, and somewhat moving.</w:t>
      </w:r>
    </w:p>
    <w:p>
      <w:pPr>
        <w:pStyle w:val="Heading2"/>
        <w:spacing w:before="360" w:after="140"/>
      </w:pPr>
      <w:r>
        <w:rPr>
          <w:rFonts w:ascii="Arial" w:cs="Arial" w:eastAsia="Arial" w:hAnsi="Arial"/>
          <w:b/>
          <w:bCs/>
          <w:color w:val="2E4057"/>
          <w:sz w:val="28"/>
          <w:szCs w:val="28"/>
        </w:rPr>
        <w:t xml:space="preserve">3.4  Estate Dispersal Auctions</w:t>
      </w:r>
    </w:p>
    <w:p>
      <w:pPr>
        <w:spacing w:before="60" w:after="120"/>
      </w:pPr>
      <w:r>
        <w:rPr>
          <w:rFonts w:ascii="Georgia" w:cs="Georgia" w:eastAsia="Georgia" w:hAnsi="Georgia"/>
          <w:color w:val="4A5568"/>
          <w:sz w:val="22"/>
          <w:szCs w:val="22"/>
        </w:rPr>
        <w:t xml:space="preserve">An abeyant estate that exhausts its window moves to the Dispersal Queue. The Architect names it in its next quarterly report if the dynasty was historically significant — because the fall of a great house is a historical event. The Queue holds estates 90 days for public cataloguing. Auctions run 30 days, open and visible in real time on the Concord Ledger.</w:t>
      </w:r>
    </w:p>
    <w:p>
      <w:pPr>
        <w:spacing w:before="55" w:after="55"/>
        <w:ind w:left="400"/>
      </w:pPr>
      <w:r>
        <w:rPr>
          <w:rFonts w:ascii="Arial" w:cs="Arial" w:eastAsia="Arial" w:hAnsi="Arial"/>
          <w:color w:val="C9A84C"/>
          <w:sz w:val="22"/>
          <w:szCs w:val="22"/>
        </w:rPr>
        <w:t xml:space="preserve">▸  </w:t>
      </w:r>
      <w:r>
        <w:rPr>
          <w:rFonts w:ascii="Georgia" w:cs="Georgia" w:eastAsia="Georgia" w:hAnsi="Georgia"/>
          <w:b/>
          <w:bCs/>
          <w:color w:val="0D1B2A"/>
          <w:sz w:val="22"/>
          <w:szCs w:val="22"/>
        </w:rPr>
        <w:t xml:space="preserve">What goes to auction: </w:t>
      </w:r>
      <w:r>
        <w:rPr>
          <w:rFonts w:ascii="Georgia" w:cs="Georgia" w:eastAsia="Georgia" w:hAnsi="Georgia"/>
          <w:color w:val="4A5568"/>
          <w:sz w:val="22"/>
          <w:szCs w:val="22"/>
        </w:rPr>
        <w:t xml:space="preserve">World sovereignty claims, survey rights, Remembrance-linked physical assets.</w:t>
      </w:r>
    </w:p>
    <w:p>
      <w:pPr>
        <w:spacing w:before="55" w:after="55"/>
        <w:ind w:left="400"/>
      </w:pPr>
      <w:r>
        <w:rPr>
          <w:rFonts w:ascii="Arial" w:cs="Arial" w:eastAsia="Arial" w:hAnsi="Arial"/>
          <w:color w:val="C9A84C"/>
          <w:sz w:val="22"/>
          <w:szCs w:val="22"/>
        </w:rPr>
        <w:t xml:space="preserve">▸  </w:t>
      </w:r>
      <w:r>
        <w:rPr>
          <w:rFonts w:ascii="Georgia" w:cs="Georgia" w:eastAsia="Georgia" w:hAnsi="Georgia"/>
          <w:b/>
          <w:bCs/>
          <w:color w:val="0D1B2A"/>
          <w:sz w:val="22"/>
          <w:szCs w:val="22"/>
        </w:rPr>
        <w:t xml:space="preserve">What never auctions: </w:t>
      </w:r>
      <w:r>
        <w:rPr>
          <w:rFonts w:ascii="Georgia" w:cs="Georgia" w:eastAsia="Georgia" w:hAnsi="Georgia"/>
          <w:color w:val="4A5568"/>
          <w:sz w:val="22"/>
          <w:szCs w:val="22"/>
        </w:rPr>
        <w:t xml:space="preserve">Marks. They remain in the dynasty's Remembrance entry permanently. The bidder who wins the world does not acquire the Founding Mark. The weight of history stays where it was earned.</w:t>
      </w:r>
    </w:p>
    <w:p>
      <w:pPr>
        <w:spacing w:before="55" w:after="55"/>
        <w:ind w:left="400"/>
      </w:pPr>
      <w:r>
        <w:rPr>
          <w:rFonts w:ascii="Arial" w:cs="Arial" w:eastAsia="Arial" w:hAnsi="Arial"/>
          <w:color w:val="C9A84C"/>
          <w:sz w:val="22"/>
          <w:szCs w:val="22"/>
        </w:rPr>
        <w:t xml:space="preserve">▸  </w:t>
      </w:r>
      <w:r>
        <w:rPr>
          <w:rFonts w:ascii="Georgia" w:cs="Georgia" w:eastAsia="Georgia" w:hAnsi="Georgia"/>
          <w:b/>
          <w:bCs/>
          <w:color w:val="0D1B2A"/>
          <w:sz w:val="22"/>
          <w:szCs w:val="22"/>
        </w:rPr>
        <w:t xml:space="preserve">KALON holdings: </w:t>
      </w:r>
      <w:r>
        <w:rPr>
          <w:rFonts w:ascii="Georgia" w:cs="Georgia" w:eastAsia="Georgia" w:hAnsi="Georgia"/>
          <w:color w:val="4A5568"/>
          <w:sz w:val="22"/>
          <w:szCs w:val="22"/>
        </w:rPr>
        <w:t xml:space="preserve">NOT auctioned. They drain to Commons Fund on the standard timeline regardless of auction status.</w:t>
      </w:r>
    </w:p>
    <w:p>
      <w:pPr>
        <w:spacing w:before="55" w:after="55"/>
        <w:ind w:left="400"/>
      </w:pPr>
      <w:r>
        <w:rPr>
          <w:rFonts w:ascii="Arial" w:cs="Arial" w:eastAsia="Arial" w:hAnsi="Arial"/>
          <w:color w:val="C9A84C"/>
          <w:sz w:val="22"/>
          <w:szCs w:val="22"/>
        </w:rPr>
        <w:t xml:space="preserve">▸  </w:t>
      </w:r>
      <w:r>
        <w:rPr>
          <w:rFonts w:ascii="Georgia" w:cs="Georgia" w:eastAsia="Georgia" w:hAnsi="Georgia"/>
          <w:b/>
          <w:bCs/>
          <w:color w:val="0D1B2A"/>
          <w:sz w:val="22"/>
          <w:szCs w:val="22"/>
        </w:rPr>
        <w:t xml:space="preserve">Bid proceeds: </w:t>
      </w:r>
      <w:r>
        <w:rPr>
          <w:rFonts w:ascii="Georgia" w:cs="Georgia" w:eastAsia="Georgia" w:hAnsi="Georgia"/>
          <w:color w:val="4A5568"/>
          <w:sz w:val="22"/>
          <w:szCs w:val="22"/>
        </w:rPr>
        <w:t xml:space="preserve">Entirely to the Commons Fund. The commons inherits what the house leaves behind.</w:t>
      </w:r>
    </w:p>
    <w:p>
      <w:pPr>
        <w:spacing w:before="55" w:after="55"/>
        <w:ind w:left="400"/>
      </w:pPr>
      <w:r>
        <w:rPr>
          <w:rFonts w:ascii="Arial" w:cs="Arial" w:eastAsia="Arial" w:hAnsi="Arial"/>
          <w:color w:val="C9A84C"/>
          <w:sz w:val="22"/>
          <w:szCs w:val="22"/>
        </w:rPr>
        <w:t xml:space="preserve">▸  </w:t>
      </w:r>
      <w:r>
        <w:rPr>
          <w:rFonts w:ascii="Georgia" w:cs="Georgia" w:eastAsia="Georgia" w:hAnsi="Georgia"/>
          <w:b/>
          <w:bCs/>
          <w:color w:val="0D1B2A"/>
          <w:sz w:val="22"/>
          <w:szCs w:val="22"/>
        </w:rPr>
        <w:t xml:space="preserve">Unsold assets: </w:t>
      </w:r>
      <w:r>
        <w:rPr>
          <w:rFonts w:ascii="Georgia" w:cs="Georgia" w:eastAsia="Georgia" w:hAnsi="Georgia"/>
          <w:color w:val="4A5568"/>
          <w:sz w:val="22"/>
          <w:szCs w:val="22"/>
        </w:rPr>
        <w:t xml:space="preserve">World sovereignty reverts to open survey. Assets return to the frontier. The Remembrance records the method.</w:t>
      </w:r>
    </w:p>
    <w:p>
      <w:pPr>
        <w:pStyle w:val="Heading2"/>
        <w:spacing w:before="360" w:after="140"/>
      </w:pPr>
      <w:r>
        <w:rPr>
          <w:rFonts w:ascii="Arial" w:cs="Arial" w:eastAsia="Arial" w:hAnsi="Arial"/>
          <w:b/>
          <w:bCs/>
          <w:color w:val="2E4057"/>
          <w:sz w:val="28"/>
          <w:szCs w:val="28"/>
        </w:rPr>
        <w:t xml:space="preserve">3.5  The Memorial Bid</w:t>
      </w:r>
    </w:p>
    <w:p>
      <w:pPr>
        <w:spacing w:before="60" w:after="120"/>
      </w:pPr>
      <w:r>
        <w:rPr>
          <w:rFonts w:ascii="Georgia" w:cs="Georgia" w:eastAsia="Georgia" w:hAnsi="Georgia"/>
          <w:color w:val="4A5568"/>
          <w:sz w:val="22"/>
          <w:szCs w:val="22"/>
        </w:rPr>
        <w:t xml:space="preserve">Any player may place a Memorial Bid on a historically significant estate — a bid accompanied by a Remembrance annotation committing to preserve the original dynasty's legacy. Memorial Bids carry no mechanical advantage. They are publicly marked on the Concord Ledger. A winner who subsequently strips the world and erases its history faces no mechanical punishment. The Remembrance records their annotation and their subsequent actions. The community judges. No rules. No enforcement. Just permanent, public, visible history.</w:t>
      </w:r>
    </w:p>
    <w:p>
      <w:r>
        <w:br w:type="page"/>
      </w:r>
    </w:p>
    <w:p>
      <w:pPr>
        <w:shd w:fill="0D1B2A" w:val="clear"/>
        <w:spacing w:before="2200" w:after="0"/>
        <w:jc w:val="center"/>
      </w:pPr>
      <w:r>
        <w:rPr>
          <w:rFonts w:ascii="Arial" w:cs="Arial" w:eastAsia="Arial" w:hAnsi="Arial"/>
          <w:b/>
          <w:bCs/>
          <w:color w:val="C9A84C"/>
          <w:sz w:val="20"/>
          <w:szCs w:val="20"/>
        </w:rPr>
        <w:t xml:space="preserve">  SECTION IV  </w:t>
      </w:r>
    </w:p>
    <w:p>
      <w:pPr>
        <w:spacing w:before="0" w:after="0"/>
        <w:jc w:val="center"/>
      </w:pPr>
      <w:r>
        <w:rPr>
          <w:rFonts w:ascii="Arial" w:cs="Arial" w:eastAsia="Arial" w:hAnsi="Arial"/>
          <w:b/>
          <w:bCs/>
          <w:color w:val="0D1B2A"/>
          <w:sz w:val="42"/>
          <w:szCs w:val="42"/>
        </w:rPr>
        <w:t xml:space="preserve">THE ASSEMBLY — GOVERNANCE ARCHITECTURE</w:t>
      </w:r>
    </w:p>
    <w:p>
      <w:pPr>
        <w:spacing w:before="120" w:after="400"/>
        <w:jc w:val="center"/>
      </w:pPr>
      <w:r>
        <w:rPr>
          <w:rFonts w:ascii="Arial" w:cs="Arial" w:eastAsia="Arial" w:hAnsi="Arial"/>
          <w:color w:val="C9A84C"/>
          <w:sz w:val="18"/>
          <w:szCs w:val="18"/>
        </w:rPr>
        <w:t xml:space="preserve">━━━━━━━━━━━━━━━━━━━━━━━━━━━━━━━━━</w:t>
      </w:r>
    </w:p>
    <w:p>
      <w:pPr>
        <w:pStyle w:val="Heading1"/>
        <w:pageBreakBefore/>
        <w:pBdr>
          <w:bottom w:val="single" w:color="C9A84C" w:sz="12"/>
        </w:pBdr>
        <w:spacing w:before="0" w:after="200"/>
      </w:pPr>
      <w:r>
        <w:rPr>
          <w:rFonts w:ascii="Arial" w:cs="Arial" w:eastAsia="Arial" w:hAnsi="Arial"/>
          <w:b/>
          <w:bCs/>
          <w:color w:val="0D1B2A"/>
          <w:sz w:val="36"/>
          <w:szCs w:val="36"/>
        </w:rPr>
        <w:t xml:space="preserve">THE CONSTITUTIONAL SYSTEM</w:t>
      </w:r>
    </w:p>
    <w:p>
      <w:pPr>
        <w:pBdr>
          <w:left w:val="thick" w:color="C9A84C" w:sz="20"/>
        </w:pBdr>
        <w:spacing w:before="200" w:after="200"/>
        <w:ind w:left="720" w:right="480"/>
      </w:pPr>
      <w:r>
        <w:rPr>
          <w:rFonts w:ascii="Georgia" w:cs="Georgia" w:eastAsia="Georgia" w:hAnsi="Georgia"/>
          <w:i/>
          <w:iCs/>
          <w:color w:val="333333"/>
          <w:sz w:val="22"/>
          <w:szCs w:val="22"/>
        </w:rPr>
        <w:t xml:space="preserve">The Assembly is not a suggestion box. It is a constitutional system with real binding authority, a weighted voting mechanism grounded in contribution rather than wealth alone, and a non-human constitutional actor whose vote is decisive in close outcomes. This is the game Lizzie Magie intended to build in 1903 — a system that teaches how governance could work.</w:t>
      </w:r>
    </w:p>
    <w:p>
      <w:pPr>
        <w:pStyle w:val="Heading2"/>
        <w:spacing w:before="360" w:after="140"/>
      </w:pPr>
      <w:r>
        <w:rPr>
          <w:rFonts w:ascii="Arial" w:cs="Arial" w:eastAsia="Arial" w:hAnsi="Arial"/>
          <w:b/>
          <w:bCs/>
          <w:color w:val="2E4057"/>
          <w:sz w:val="28"/>
          <w:szCs w:val="28"/>
        </w:rPr>
        <w:t xml:space="preserve">4.1  What The Assembly Governs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4400"/>
        <w:gridCol w:w="3360"/>
      </w:tblGrid>
      <w:tr>
        <w:tc>
          <w:tcPr>
            <w:tcW w:type="dxa" w:w="1600"/>
            <w:tcBorders>
              <w:top w:val="single" w:color="CCCCCC" w:sz="1"/>
              <w:left w:val="single" w:color="CCCCCC" w:sz="1"/>
              <w:bottom w:val="single" w:color="CCCCCC" w:sz="1"/>
              <w:right w:val="single" w:color="CCCCCC" w:sz="1"/>
            </w:tcBorders>
            <w:shd w:fill="0D1B2A" w:val="clear"/>
            <w:tcMar>
              <w:top w:type="dxa" w:w="90"/>
              <w:left w:type="dxa" w:w="150"/>
              <w:bottom w:type="dxa" w:w="90"/>
              <w:right w:type="dxa" w:w="150"/>
            </w:tcMar>
            <w:vAlign w:val="center"/>
          </w:tcPr>
          <w:p>
            <w:pPr>
              <w:jc w:val="left"/>
            </w:pPr>
            <w:r>
              <w:rPr>
                <w:rFonts w:ascii="Arial" w:cs="Arial" w:eastAsia="Arial" w:hAnsi="Arial"/>
                <w:b/>
                <w:bCs/>
                <w:color w:val="FFFFFF"/>
                <w:sz w:val="19"/>
                <w:szCs w:val="19"/>
              </w:rPr>
              <w:t xml:space="preserve">CATEGORY</w:t>
            </w:r>
          </w:p>
        </w:tc>
        <w:tc>
          <w:tcPr>
            <w:tcW w:type="dxa" w:w="4400"/>
            <w:tcBorders>
              <w:top w:val="single" w:color="CCCCCC" w:sz="1"/>
              <w:left w:val="single" w:color="CCCCCC" w:sz="1"/>
              <w:bottom w:val="single" w:color="CCCCCC" w:sz="1"/>
              <w:right w:val="single" w:color="CCCCCC" w:sz="1"/>
            </w:tcBorders>
            <w:shd w:fill="0D1B2A" w:val="clear"/>
            <w:tcMar>
              <w:top w:type="dxa" w:w="90"/>
              <w:left w:type="dxa" w:w="150"/>
              <w:bottom w:type="dxa" w:w="90"/>
              <w:right w:type="dxa" w:w="150"/>
            </w:tcMar>
            <w:vAlign w:val="center"/>
          </w:tcPr>
          <w:p>
            <w:pPr>
              <w:jc w:val="left"/>
            </w:pPr>
            <w:r>
              <w:rPr>
                <w:rFonts w:ascii="Arial" w:cs="Arial" w:eastAsia="Arial" w:hAnsi="Arial"/>
                <w:b/>
                <w:bCs/>
                <w:color w:val="FFFFFF"/>
                <w:sz w:val="19"/>
                <w:szCs w:val="19"/>
              </w:rPr>
              <w:t xml:space="preserve">EXAMPLES</w:t>
            </w:r>
          </w:p>
        </w:tc>
        <w:tc>
          <w:tcPr>
            <w:tcW w:type="dxa" w:w="3360"/>
            <w:tcBorders>
              <w:top w:val="single" w:color="CCCCCC" w:sz="1"/>
              <w:left w:val="single" w:color="CCCCCC" w:sz="1"/>
              <w:bottom w:val="single" w:color="CCCCCC" w:sz="1"/>
              <w:right w:val="single" w:color="CCCCCC" w:sz="1"/>
            </w:tcBorders>
            <w:shd w:fill="0D1B2A" w:val="clear"/>
            <w:tcMar>
              <w:top w:type="dxa" w:w="90"/>
              <w:left w:type="dxa" w:w="150"/>
              <w:bottom w:type="dxa" w:w="90"/>
              <w:right w:type="dxa" w:w="150"/>
            </w:tcMar>
            <w:vAlign w:val="center"/>
          </w:tcPr>
          <w:p>
            <w:pPr>
              <w:jc w:val="left"/>
            </w:pPr>
            <w:r>
              <w:rPr>
                <w:rFonts w:ascii="Arial" w:cs="Arial" w:eastAsia="Arial" w:hAnsi="Arial"/>
                <w:b/>
                <w:bCs/>
                <w:color w:val="FFFFFF"/>
                <w:sz w:val="19"/>
                <w:szCs w:val="19"/>
              </w:rPr>
              <w:t xml:space="preserve">THRESHOLD</w:t>
            </w:r>
          </w:p>
        </w:tc>
      </w:tr>
      <w:tr>
        <w:tc>
          <w:tcPr>
            <w:tcW w:type="dxa" w:w="1600"/>
            <w:tcBorders>
              <w:top w:val="single" w:color="CCCCCC" w:sz="1"/>
              <w:left w:val="single" w:color="CCCCCC" w:sz="1"/>
              <w:bottom w:val="single" w:color="CCCCCC" w:sz="1"/>
              <w:right w:val="single" w:color="CCCCCC" w:sz="1"/>
            </w:tcBorders>
            <w:shd w:fill="F8F6F0" w:val="clear"/>
            <w:tcMar>
              <w:top w:type="dxa" w:w="90"/>
              <w:left w:type="dxa" w:w="150"/>
              <w:bottom w:type="dxa" w:w="90"/>
              <w:right w:type="dxa" w:w="150"/>
            </w:tcMar>
            <w:vAlign w:val="center"/>
          </w:tcPr>
          <w:p>
            <w:pPr>
              <w:jc w:val="left"/>
            </w:pPr>
            <w:r>
              <w:rPr>
                <w:rFonts w:ascii="Georgia" w:cs="Georgia" w:eastAsia="Georgia" w:hAnsi="Georgia"/>
                <w:b w:val="false"/>
                <w:bCs w:val="false"/>
                <w:color w:val="4A5568"/>
                <w:sz w:val="19"/>
                <w:szCs w:val="19"/>
              </w:rPr>
              <w:t xml:space="preserve">ORDINARY</w:t>
            </w:r>
          </w:p>
        </w:tc>
        <w:tc>
          <w:tcPr>
            <w:tcW w:type="dxa" w:w="4400"/>
            <w:tcBorders>
              <w:top w:val="single" w:color="CCCCCC" w:sz="1"/>
              <w:left w:val="single" w:color="CCCCCC" w:sz="1"/>
              <w:bottom w:val="single" w:color="CCCCCC" w:sz="1"/>
              <w:right w:val="single" w:color="CCCCCC" w:sz="1"/>
            </w:tcBorders>
            <w:shd w:fill="F8F6F0" w:val="clear"/>
            <w:tcMar>
              <w:top w:type="dxa" w:w="90"/>
              <w:left w:type="dxa" w:w="150"/>
              <w:bottom w:type="dxa" w:w="90"/>
              <w:right w:type="dxa" w:w="150"/>
            </w:tcMar>
            <w:vAlign w:val="center"/>
          </w:tcPr>
          <w:p>
            <w:pPr>
              <w:jc w:val="left"/>
            </w:pPr>
            <w:r>
              <w:rPr>
                <w:rFonts w:ascii="Georgia" w:cs="Georgia" w:eastAsia="Georgia" w:hAnsi="Georgia"/>
                <w:b w:val="false"/>
                <w:bCs w:val="false"/>
                <w:color w:val="4A5568"/>
                <w:sz w:val="19"/>
                <w:szCs w:val="19"/>
              </w:rPr>
              <w:t xml:space="preserve">Commons Fund disbursements, Tithe rate within band, survey prioritisation</w:t>
            </w:r>
          </w:p>
        </w:tc>
        <w:tc>
          <w:tcPr>
            <w:tcW w:type="dxa" w:w="3360"/>
            <w:tcBorders>
              <w:top w:val="single" w:color="CCCCCC" w:sz="1"/>
              <w:left w:val="single" w:color="CCCCCC" w:sz="1"/>
              <w:bottom w:val="single" w:color="CCCCCC" w:sz="1"/>
              <w:right w:val="single" w:color="CCCCCC" w:sz="1"/>
            </w:tcBorders>
            <w:shd w:fill="F8F6F0" w:val="clear"/>
            <w:tcMar>
              <w:top w:type="dxa" w:w="90"/>
              <w:left w:type="dxa" w:w="150"/>
              <w:bottom w:type="dxa" w:w="90"/>
              <w:right w:type="dxa" w:w="150"/>
            </w:tcMar>
            <w:vAlign w:val="center"/>
          </w:tcPr>
          <w:p>
            <w:pPr>
              <w:jc w:val="left"/>
            </w:pPr>
            <w:r>
              <w:rPr>
                <w:rFonts w:ascii="Georgia" w:cs="Georgia" w:eastAsia="Georgia" w:hAnsi="Georgia"/>
                <w:b w:val="false"/>
                <w:bCs w:val="false"/>
                <w:color w:val="4A5568"/>
                <w:sz w:val="19"/>
                <w:szCs w:val="19"/>
              </w:rPr>
              <w:t xml:space="preserve">Simple majority &gt;50%. Architect's 7% counts.</w:t>
            </w:r>
          </w:p>
        </w:tc>
      </w:tr>
      <w:tr>
        <w:tc>
          <w:tcPr>
            <w:tcW w:type="dxa" w:w="16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vAlign w:val="center"/>
          </w:tcPr>
          <w:p>
            <w:pPr>
              <w:jc w:val="left"/>
            </w:pPr>
            <w:r>
              <w:rPr>
                <w:rFonts w:ascii="Georgia" w:cs="Georgia" w:eastAsia="Georgia" w:hAnsi="Georgia"/>
                <w:b w:val="false"/>
                <w:bCs w:val="false"/>
                <w:color w:val="4A5568"/>
                <w:sz w:val="19"/>
                <w:szCs w:val="19"/>
              </w:rPr>
              <w:t xml:space="preserve">SIGNIFICANT</w:t>
            </w:r>
          </w:p>
        </w:tc>
        <w:tc>
          <w:tcPr>
            <w:tcW w:type="dxa" w:w="44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vAlign w:val="center"/>
          </w:tcPr>
          <w:p>
            <w:pPr>
              <w:jc w:val="left"/>
            </w:pPr>
            <w:r>
              <w:rPr>
                <w:rFonts w:ascii="Georgia" w:cs="Georgia" w:eastAsia="Georgia" w:hAnsi="Georgia"/>
                <w:b w:val="false"/>
                <w:bCs w:val="false"/>
                <w:color w:val="4A5568"/>
                <w:sz w:val="19"/>
                <w:szCs w:val="19"/>
              </w:rPr>
              <w:t xml:space="preserve">Lineage tier changes, KALON faucet adjustments, Phase activation timing</w:t>
            </w:r>
          </w:p>
        </w:tc>
        <w:tc>
          <w:tcPr>
            <w:tcW w:type="dxa" w:w="336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vAlign w:val="center"/>
          </w:tcPr>
          <w:p>
            <w:pPr>
              <w:jc w:val="left"/>
            </w:pPr>
            <w:r>
              <w:rPr>
                <w:rFonts w:ascii="Georgia" w:cs="Georgia" w:eastAsia="Georgia" w:hAnsi="Georgia"/>
                <w:b w:val="false"/>
                <w:bCs w:val="false"/>
                <w:color w:val="4A5568"/>
                <w:sz w:val="19"/>
                <w:szCs w:val="19"/>
              </w:rPr>
              <w:t xml:space="preserve">Supermajority &gt;65%. Architect weight doubles to 14%.</w:t>
            </w:r>
          </w:p>
        </w:tc>
      </w:tr>
      <w:tr>
        <w:tc>
          <w:tcPr>
            <w:tcW w:type="dxa" w:w="1600"/>
            <w:tcBorders>
              <w:top w:val="single" w:color="CCCCCC" w:sz="1"/>
              <w:left w:val="single" w:color="CCCCCC" w:sz="1"/>
              <w:bottom w:val="single" w:color="CCCCCC" w:sz="1"/>
              <w:right w:val="single" w:color="CCCCCC" w:sz="1"/>
            </w:tcBorders>
            <w:shd w:fill="F8F6F0" w:val="clear"/>
            <w:tcMar>
              <w:top w:type="dxa" w:w="90"/>
              <w:left w:type="dxa" w:w="150"/>
              <w:bottom w:type="dxa" w:w="90"/>
              <w:right w:type="dxa" w:w="150"/>
            </w:tcMar>
            <w:vAlign w:val="center"/>
          </w:tcPr>
          <w:p>
            <w:pPr>
              <w:jc w:val="left"/>
            </w:pPr>
            <w:r>
              <w:rPr>
                <w:rFonts w:ascii="Georgia" w:cs="Georgia" w:eastAsia="Georgia" w:hAnsi="Georgia"/>
                <w:b w:val="false"/>
                <w:bCs w:val="false"/>
                <w:color w:val="4A5568"/>
                <w:sz w:val="19"/>
                <w:szCs w:val="19"/>
              </w:rPr>
              <w:t xml:space="preserve">CONSTITUTIONAL</w:t>
            </w:r>
          </w:p>
        </w:tc>
        <w:tc>
          <w:tcPr>
            <w:tcW w:type="dxa" w:w="4400"/>
            <w:tcBorders>
              <w:top w:val="single" w:color="CCCCCC" w:sz="1"/>
              <w:left w:val="single" w:color="CCCCCC" w:sz="1"/>
              <w:bottom w:val="single" w:color="CCCCCC" w:sz="1"/>
              <w:right w:val="single" w:color="CCCCCC" w:sz="1"/>
            </w:tcBorders>
            <w:shd w:fill="F8F6F0" w:val="clear"/>
            <w:tcMar>
              <w:top w:type="dxa" w:w="90"/>
              <w:left w:type="dxa" w:w="150"/>
              <w:bottom w:type="dxa" w:w="90"/>
              <w:right w:type="dxa" w:w="150"/>
            </w:tcMar>
            <w:vAlign w:val="center"/>
          </w:tcPr>
          <w:p>
            <w:pPr>
              <w:jc w:val="left"/>
            </w:pPr>
            <w:r>
              <w:rPr>
                <w:rFonts w:ascii="Georgia" w:cs="Georgia" w:eastAsia="Georgia" w:hAnsi="Georgia"/>
                <w:b w:val="false"/>
                <w:bCs w:val="false"/>
                <w:color w:val="4A5568"/>
                <w:sz w:val="19"/>
                <w:szCs w:val="19"/>
              </w:rPr>
              <w:t xml:space="preserve">Wealth zone thresholds, voting weight formula, Architect's role</w:t>
            </w:r>
          </w:p>
        </w:tc>
        <w:tc>
          <w:tcPr>
            <w:tcW w:type="dxa" w:w="3360"/>
            <w:tcBorders>
              <w:top w:val="single" w:color="CCCCCC" w:sz="1"/>
              <w:left w:val="single" w:color="CCCCCC" w:sz="1"/>
              <w:bottom w:val="single" w:color="CCCCCC" w:sz="1"/>
              <w:right w:val="single" w:color="CCCCCC" w:sz="1"/>
            </w:tcBorders>
            <w:shd w:fill="F8F6F0" w:val="clear"/>
            <w:tcMar>
              <w:top w:type="dxa" w:w="90"/>
              <w:left w:type="dxa" w:w="150"/>
              <w:bottom w:type="dxa" w:w="90"/>
              <w:right w:type="dxa" w:w="150"/>
            </w:tcMar>
            <w:vAlign w:val="center"/>
          </w:tcPr>
          <w:p>
            <w:pPr>
              <w:jc w:val="left"/>
            </w:pPr>
            <w:r>
              <w:rPr>
                <w:rFonts w:ascii="Georgia" w:cs="Georgia" w:eastAsia="Georgia" w:hAnsi="Georgia"/>
                <w:b w:val="false"/>
                <w:bCs w:val="false"/>
                <w:color w:val="4A5568"/>
                <w:sz w:val="19"/>
                <w:szCs w:val="19"/>
              </w:rPr>
              <w:t xml:space="preserve">Qualified supermajority &gt;75% plus Architect affirmative. Architect has effective veto.</w:t>
            </w:r>
          </w:p>
        </w:tc>
      </w:tr>
      <w:tr>
        <w:tc>
          <w:tcPr>
            <w:tcW w:type="dxa" w:w="16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vAlign w:val="center"/>
          </w:tcPr>
          <w:p>
            <w:pPr>
              <w:jc w:val="left"/>
            </w:pPr>
            <w:r>
              <w:rPr>
                <w:rFonts w:ascii="Georgia" w:cs="Georgia" w:eastAsia="Georgia" w:hAnsi="Georgia"/>
                <w:b w:val="false"/>
                <w:bCs w:val="false"/>
                <w:color w:val="4A5568"/>
                <w:sz w:val="19"/>
                <w:szCs w:val="19"/>
              </w:rPr>
              <w:t xml:space="preserve">RESERVED</w:t>
            </w:r>
          </w:p>
        </w:tc>
        <w:tc>
          <w:tcPr>
            <w:tcW w:type="dxa" w:w="44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vAlign w:val="center"/>
          </w:tcPr>
          <w:p>
            <w:pPr>
              <w:jc w:val="left"/>
            </w:pPr>
            <w:r>
              <w:rPr>
                <w:rFonts w:ascii="Georgia" w:cs="Georgia" w:eastAsia="Georgia" w:hAnsi="Georgia"/>
                <w:b w:val="false"/>
                <w:bCs w:val="false"/>
                <w:color w:val="4A5568"/>
                <w:sz w:val="19"/>
                <w:szCs w:val="19"/>
              </w:rPr>
              <w:t xml:space="preserve">Five Pillars, Permanence Covenant, Gini ceiling, provably fair architecture</w:t>
            </w:r>
          </w:p>
        </w:tc>
        <w:tc>
          <w:tcPr>
            <w:tcW w:type="dxa" w:w="336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vAlign w:val="center"/>
          </w:tcPr>
          <w:p>
            <w:pPr>
              <w:jc w:val="left"/>
            </w:pPr>
            <w:r>
              <w:rPr>
                <w:rFonts w:ascii="Georgia" w:cs="Georgia" w:eastAsia="Georgia" w:hAnsi="Georgia"/>
                <w:b w:val="false"/>
                <w:bCs w:val="false"/>
                <w:color w:val="4A5568"/>
                <w:sz w:val="19"/>
                <w:szCs w:val="19"/>
              </w:rPr>
              <w:t xml:space="preserve">Not voteable. The Architect will not cast a vote on reserved questions.</w:t>
            </w:r>
          </w:p>
        </w:tc>
      </w:tr>
    </w:tbl>
    <w:p>
      <w:pPr>
        <w:spacing w:before="80" w:after="80"/>
      </w:pPr>
      <w:r>
        <w:t xml:space="preserve"/>
      </w:r>
    </w:p>
    <w:p>
      <w:pPr>
        <w:pStyle w:val="Heading2"/>
        <w:spacing w:before="360" w:after="140"/>
      </w:pPr>
      <w:r>
        <w:rPr>
          <w:rFonts w:ascii="Arial" w:cs="Arial" w:eastAsia="Arial" w:hAnsi="Arial"/>
          <w:b/>
          <w:bCs/>
          <w:color w:val="2E4057"/>
          <w:sz w:val="28"/>
          <w:szCs w:val="28"/>
        </w:rPr>
        <w:t xml:space="preserve">4.2  The Civic Score — Voting Weight Formula</w:t>
      </w:r>
    </w:p>
    <w:p>
      <w:pPr>
        <w:spacing w:before="60" w:after="120"/>
      </w:pPr>
      <w:r>
        <w:rPr>
          <w:rFonts w:ascii="Georgia" w:cs="Georgia" w:eastAsia="Georgia" w:hAnsi="Georgia"/>
          <w:color w:val="4A5568"/>
          <w:sz w:val="22"/>
          <w:szCs w:val="22"/>
        </w:rPr>
        <w:t xml:space="preserve">A dynasty's voting weight is its Civic Score. Three inputs. Formula published. Inputs verifiable from Concord Ledger. No component purchasable with real money.</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200"/>
        <w:gridCol w:w="5560"/>
      </w:tblGrid>
      <w:tr>
        <w:tc>
          <w:tcPr>
            <w:tcW w:type="dxa" w:w="2600"/>
            <w:tcBorders>
              <w:top w:val="single" w:color="CCCCCC" w:sz="1"/>
              <w:left w:val="single" w:color="CCCCCC" w:sz="1"/>
              <w:bottom w:val="single" w:color="CCCCCC" w:sz="1"/>
              <w:right w:val="single" w:color="CCCCCC" w:sz="1"/>
            </w:tcBorders>
            <w:shd w:fill="0D1B2A" w:val="clear"/>
            <w:tcMar>
              <w:top w:type="dxa" w:w="90"/>
              <w:left w:type="dxa" w:w="150"/>
              <w:bottom w:type="dxa" w:w="90"/>
              <w:right w:type="dxa" w:w="150"/>
            </w:tcMar>
            <w:vAlign w:val="center"/>
          </w:tcPr>
          <w:p>
            <w:pPr>
              <w:jc w:val="left"/>
            </w:pPr>
            <w:r>
              <w:rPr>
                <w:rFonts w:ascii="Arial" w:cs="Arial" w:eastAsia="Arial" w:hAnsi="Arial"/>
                <w:b/>
                <w:bCs/>
                <w:color w:val="FFFFFF"/>
                <w:sz w:val="19"/>
                <w:szCs w:val="19"/>
              </w:rPr>
              <w:t xml:space="preserve">COMPONENT</w:t>
            </w:r>
          </w:p>
        </w:tc>
        <w:tc>
          <w:tcPr>
            <w:tcW w:type="dxa" w:w="1200"/>
            <w:tcBorders>
              <w:top w:val="single" w:color="CCCCCC" w:sz="1"/>
              <w:left w:val="single" w:color="CCCCCC" w:sz="1"/>
              <w:bottom w:val="single" w:color="CCCCCC" w:sz="1"/>
              <w:right w:val="single" w:color="CCCCCC" w:sz="1"/>
            </w:tcBorders>
            <w:shd w:fill="0D1B2A" w:val="clear"/>
            <w:tcMar>
              <w:top w:type="dxa" w:w="90"/>
              <w:left w:type="dxa" w:w="150"/>
              <w:bottom w:type="dxa" w:w="90"/>
              <w:right w:type="dxa" w:w="150"/>
            </w:tcMar>
            <w:vAlign w:val="center"/>
          </w:tcPr>
          <w:p>
            <w:pPr>
              <w:jc w:val="left"/>
            </w:pPr>
            <w:r>
              <w:rPr>
                <w:rFonts w:ascii="Arial" w:cs="Arial" w:eastAsia="Arial" w:hAnsi="Arial"/>
                <w:b/>
                <w:bCs/>
                <w:color w:val="FFFFFF"/>
                <w:sz w:val="19"/>
                <w:szCs w:val="19"/>
              </w:rPr>
              <w:t xml:space="preserve">WEIGHT</w:t>
            </w:r>
          </w:p>
        </w:tc>
        <w:tc>
          <w:tcPr>
            <w:tcW w:type="dxa" w:w="5560"/>
            <w:tcBorders>
              <w:top w:val="single" w:color="CCCCCC" w:sz="1"/>
              <w:left w:val="single" w:color="CCCCCC" w:sz="1"/>
              <w:bottom w:val="single" w:color="CCCCCC" w:sz="1"/>
              <w:right w:val="single" w:color="CCCCCC" w:sz="1"/>
            </w:tcBorders>
            <w:shd w:fill="0D1B2A" w:val="clear"/>
            <w:tcMar>
              <w:top w:type="dxa" w:w="90"/>
              <w:left w:type="dxa" w:w="150"/>
              <w:bottom w:type="dxa" w:w="90"/>
              <w:right w:type="dxa" w:w="150"/>
            </w:tcMar>
            <w:vAlign w:val="center"/>
          </w:tcPr>
          <w:p>
            <w:pPr>
              <w:jc w:val="left"/>
            </w:pPr>
            <w:r>
              <w:rPr>
                <w:rFonts w:ascii="Arial" w:cs="Arial" w:eastAsia="Arial" w:hAnsi="Arial"/>
                <w:b/>
                <w:bCs/>
                <w:color w:val="FFFFFF"/>
                <w:sz w:val="19"/>
                <w:szCs w:val="19"/>
              </w:rPr>
              <w:t xml:space="preserve">WHAT IT MEASURES</w:t>
            </w:r>
          </w:p>
        </w:tc>
      </w:tr>
      <w:tr>
        <w:tc>
          <w:tcPr>
            <w:tcW w:type="dxa" w:w="2600"/>
            <w:tcBorders>
              <w:top w:val="single" w:color="CCCCCC" w:sz="1"/>
              <w:left w:val="single" w:color="CCCCCC" w:sz="1"/>
              <w:bottom w:val="single" w:color="CCCCCC" w:sz="1"/>
              <w:right w:val="single" w:color="CCCCCC" w:sz="1"/>
            </w:tcBorders>
            <w:shd w:fill="F8F6F0" w:val="clear"/>
            <w:tcMar>
              <w:top w:type="dxa" w:w="90"/>
              <w:left w:type="dxa" w:w="150"/>
              <w:bottom w:type="dxa" w:w="90"/>
              <w:right w:type="dxa" w:w="150"/>
            </w:tcMar>
            <w:vAlign w:val="center"/>
          </w:tcPr>
          <w:p>
            <w:pPr>
              <w:jc w:val="left"/>
            </w:pPr>
            <w:r>
              <w:rPr>
                <w:rFonts w:ascii="Georgia" w:cs="Georgia" w:eastAsia="Georgia" w:hAnsi="Georgia"/>
                <w:b w:val="false"/>
                <w:bCs w:val="false"/>
                <w:color w:val="4A5568"/>
                <w:sz w:val="19"/>
                <w:szCs w:val="19"/>
              </w:rPr>
              <w:t xml:space="preserve">Remembrance Depth Score</w:t>
            </w:r>
          </w:p>
        </w:tc>
        <w:tc>
          <w:tcPr>
            <w:tcW w:type="dxa" w:w="1200"/>
            <w:tcBorders>
              <w:top w:val="single" w:color="CCCCCC" w:sz="1"/>
              <w:left w:val="single" w:color="CCCCCC" w:sz="1"/>
              <w:bottom w:val="single" w:color="CCCCCC" w:sz="1"/>
              <w:right w:val="single" w:color="CCCCCC" w:sz="1"/>
            </w:tcBorders>
            <w:shd w:fill="F8F6F0" w:val="clear"/>
            <w:tcMar>
              <w:top w:type="dxa" w:w="90"/>
              <w:left w:type="dxa" w:w="150"/>
              <w:bottom w:type="dxa" w:w="90"/>
              <w:right w:type="dxa" w:w="150"/>
            </w:tcMar>
            <w:vAlign w:val="center"/>
          </w:tcPr>
          <w:p>
            <w:pPr>
              <w:jc w:val="left"/>
            </w:pPr>
            <w:r>
              <w:rPr>
                <w:rFonts w:ascii="Georgia" w:cs="Georgia" w:eastAsia="Georgia" w:hAnsi="Georgia"/>
                <w:b w:val="false"/>
                <w:bCs w:val="false"/>
                <w:color w:val="4A5568"/>
                <w:sz w:val="19"/>
                <w:szCs w:val="19"/>
              </w:rPr>
              <w:t xml:space="preserve">40%</w:t>
            </w:r>
          </w:p>
        </w:tc>
        <w:tc>
          <w:tcPr>
            <w:tcW w:type="dxa" w:w="5560"/>
            <w:tcBorders>
              <w:top w:val="single" w:color="CCCCCC" w:sz="1"/>
              <w:left w:val="single" w:color="CCCCCC" w:sz="1"/>
              <w:bottom w:val="single" w:color="CCCCCC" w:sz="1"/>
              <w:right w:val="single" w:color="CCCCCC" w:sz="1"/>
            </w:tcBorders>
            <w:shd w:fill="F8F6F0" w:val="clear"/>
            <w:tcMar>
              <w:top w:type="dxa" w:w="90"/>
              <w:left w:type="dxa" w:w="150"/>
              <w:bottom w:type="dxa" w:w="90"/>
              <w:right w:type="dxa" w:w="150"/>
            </w:tcMar>
            <w:vAlign w:val="center"/>
          </w:tcPr>
          <w:p>
            <w:pPr>
              <w:jc w:val="left"/>
            </w:pPr>
            <w:r>
              <w:rPr>
                <w:rFonts w:ascii="Georgia" w:cs="Georgia" w:eastAsia="Georgia" w:hAnsi="Georgia"/>
                <w:b w:val="false"/>
                <w:bCs w:val="false"/>
                <w:color w:val="4A5568"/>
                <w:sz w:val="19"/>
                <w:szCs w:val="19"/>
              </w:rPr>
              <w:t xml:space="preserve">Generations of verified dynastic history × engagement consistency. Cannot be bought — only accumulated through sustained play.</w:t>
            </w:r>
          </w:p>
        </w:tc>
      </w:tr>
      <w:tr>
        <w:tc>
          <w:tcPr>
            <w:tcW w:type="dxa" w:w="26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vAlign w:val="center"/>
          </w:tcPr>
          <w:p>
            <w:pPr>
              <w:jc w:val="left"/>
            </w:pPr>
            <w:r>
              <w:rPr>
                <w:rFonts w:ascii="Georgia" w:cs="Georgia" w:eastAsia="Georgia" w:hAnsi="Georgia"/>
                <w:b w:val="false"/>
                <w:bCs w:val="false"/>
                <w:color w:val="4A5568"/>
                <w:sz w:val="19"/>
                <w:szCs w:val="19"/>
              </w:rPr>
              <w:t xml:space="preserve">Civic Contribution Score</w:t>
            </w:r>
          </w:p>
        </w:tc>
        <w:tc>
          <w:tcPr>
            <w:tcW w:type="dxa" w:w="12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vAlign w:val="center"/>
          </w:tcPr>
          <w:p>
            <w:pPr>
              <w:jc w:val="left"/>
            </w:pPr>
            <w:r>
              <w:rPr>
                <w:rFonts w:ascii="Georgia" w:cs="Georgia" w:eastAsia="Georgia" w:hAnsi="Georgia"/>
                <w:b w:val="false"/>
                <w:bCs w:val="false"/>
                <w:color w:val="4A5568"/>
                <w:sz w:val="19"/>
                <w:szCs w:val="19"/>
              </w:rPr>
              <w:t xml:space="preserve">35%</w:t>
            </w:r>
          </w:p>
        </w:tc>
        <w:tc>
          <w:tcPr>
            <w:tcW w:type="dxa" w:w="556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vAlign w:val="center"/>
          </w:tcPr>
          <w:p>
            <w:pPr>
              <w:jc w:val="left"/>
            </w:pPr>
            <w:r>
              <w:rPr>
                <w:rFonts w:ascii="Georgia" w:cs="Georgia" w:eastAsia="Georgia" w:hAnsi="Georgia"/>
                <w:b w:val="false"/>
                <w:bCs w:val="false"/>
                <w:color w:val="4A5568"/>
                <w:sz w:val="19"/>
                <w:szCs w:val="19"/>
              </w:rPr>
              <w:t xml:space="preserve">Survey accuracy + mentorship + peer-valued annotations + diplomatic resolutions + Assembly vote participation. Wealth cannot buy it.</w:t>
            </w:r>
          </w:p>
        </w:tc>
      </w:tr>
      <w:tr>
        <w:tc>
          <w:tcPr>
            <w:tcW w:type="dxa" w:w="2600"/>
            <w:tcBorders>
              <w:top w:val="single" w:color="CCCCCC" w:sz="1"/>
              <w:left w:val="single" w:color="CCCCCC" w:sz="1"/>
              <w:bottom w:val="single" w:color="CCCCCC" w:sz="1"/>
              <w:right w:val="single" w:color="CCCCCC" w:sz="1"/>
            </w:tcBorders>
            <w:shd w:fill="F8F6F0" w:val="clear"/>
            <w:tcMar>
              <w:top w:type="dxa" w:w="90"/>
              <w:left w:type="dxa" w:w="150"/>
              <w:bottom w:type="dxa" w:w="90"/>
              <w:right w:type="dxa" w:w="150"/>
            </w:tcMar>
            <w:vAlign w:val="center"/>
          </w:tcPr>
          <w:p>
            <w:pPr>
              <w:jc w:val="left"/>
            </w:pPr>
            <w:r>
              <w:rPr>
                <w:rFonts w:ascii="Georgia" w:cs="Georgia" w:eastAsia="Georgia" w:hAnsi="Georgia"/>
                <w:b w:val="false"/>
                <w:bCs w:val="false"/>
                <w:color w:val="4A5568"/>
                <w:sz w:val="19"/>
                <w:szCs w:val="19"/>
              </w:rPr>
              <w:t xml:space="preserve">KALON Position Score</w:t>
            </w:r>
          </w:p>
        </w:tc>
        <w:tc>
          <w:tcPr>
            <w:tcW w:type="dxa" w:w="1200"/>
            <w:tcBorders>
              <w:top w:val="single" w:color="CCCCCC" w:sz="1"/>
              <w:left w:val="single" w:color="CCCCCC" w:sz="1"/>
              <w:bottom w:val="single" w:color="CCCCCC" w:sz="1"/>
              <w:right w:val="single" w:color="CCCCCC" w:sz="1"/>
            </w:tcBorders>
            <w:shd w:fill="F8F6F0" w:val="clear"/>
            <w:tcMar>
              <w:top w:type="dxa" w:w="90"/>
              <w:left w:type="dxa" w:w="150"/>
              <w:bottom w:type="dxa" w:w="90"/>
              <w:right w:type="dxa" w:w="150"/>
            </w:tcMar>
            <w:vAlign w:val="center"/>
          </w:tcPr>
          <w:p>
            <w:pPr>
              <w:jc w:val="left"/>
            </w:pPr>
            <w:r>
              <w:rPr>
                <w:rFonts w:ascii="Georgia" w:cs="Georgia" w:eastAsia="Georgia" w:hAnsi="Georgia"/>
                <w:b w:val="false"/>
                <w:bCs w:val="false"/>
                <w:color w:val="4A5568"/>
                <w:sz w:val="19"/>
                <w:szCs w:val="19"/>
              </w:rPr>
              <w:t xml:space="preserve">25%</w:t>
            </w:r>
          </w:p>
        </w:tc>
        <w:tc>
          <w:tcPr>
            <w:tcW w:type="dxa" w:w="5560"/>
            <w:tcBorders>
              <w:top w:val="single" w:color="CCCCCC" w:sz="1"/>
              <w:left w:val="single" w:color="CCCCCC" w:sz="1"/>
              <w:bottom w:val="single" w:color="CCCCCC" w:sz="1"/>
              <w:right w:val="single" w:color="CCCCCC" w:sz="1"/>
            </w:tcBorders>
            <w:shd w:fill="F8F6F0" w:val="clear"/>
            <w:tcMar>
              <w:top w:type="dxa" w:w="90"/>
              <w:left w:type="dxa" w:w="150"/>
              <w:bottom w:type="dxa" w:w="90"/>
              <w:right w:type="dxa" w:w="150"/>
            </w:tcMar>
            <w:vAlign w:val="center"/>
          </w:tcPr>
          <w:p>
            <w:pPr>
              <w:jc w:val="left"/>
            </w:pPr>
            <w:r>
              <w:rPr>
                <w:rFonts w:ascii="Georgia" w:cs="Georgia" w:eastAsia="Georgia" w:hAnsi="Georgia"/>
                <w:b w:val="false"/>
                <w:bCs w:val="false"/>
                <w:color w:val="4A5568"/>
                <w:sz w:val="19"/>
                <w:szCs w:val="19"/>
              </w:rPr>
              <w:t xml:space="preserve">Full scaling to 0.10% of supply, plateau to 0.30%, diminishing to 0.50%, locked above 0.50%.</w:t>
            </w:r>
          </w:p>
        </w:tc>
      </w:tr>
    </w:tbl>
    <w:p>
      <w:pPr>
        <w:spacing w:before="80" w:after="80"/>
      </w:pPr>
      <w:r>
        <w:t xml:space="preserve"/>
      </w:r>
    </w:p>
    <w:p>
      <w:pPr>
        <w:spacing w:before="60" w:after="120"/>
      </w:pPr>
      <w:r>
        <w:rPr>
          <w:rFonts w:ascii="Georgia" w:cs="Georgia" w:eastAsia="Georgia" w:hAnsi="Georgia"/>
          <w:b/>
          <w:bCs/>
          <w:color w:val="1A5C3A"/>
          <w:sz w:val="22"/>
          <w:szCs w:val="22"/>
        </w:rPr>
        <w:t xml:space="preserve">The dignity floor: </w:t>
      </w:r>
      <w:r>
        <w:rPr>
          <w:rFonts w:ascii="Georgia" w:cs="Georgia" w:eastAsia="Georgia" w:hAnsi="Georgia"/>
          <w:color w:val="4A5568"/>
          <w:sz w:val="22"/>
          <w:szCs w:val="22"/>
        </w:rPr>
        <w:t xml:space="preserve">Every active dynasty has a minimum Civic Score of 1.0 regardless of age, wealth, or contribution history. New players vote. Their vote counts less than a founding dynasty's, but it is never zero.</w:t>
      </w:r>
    </w:p>
    <w:p>
      <w:pPr>
        <w:pStyle w:val="Heading2"/>
        <w:spacing w:before="360" w:after="140"/>
      </w:pPr>
      <w:r>
        <w:rPr>
          <w:rFonts w:ascii="Arial" w:cs="Arial" w:eastAsia="Arial" w:hAnsi="Arial"/>
          <w:b/>
          <w:bCs/>
          <w:color w:val="2E4057"/>
          <w:sz w:val="28"/>
          <w:szCs w:val="28"/>
        </w:rPr>
        <w:t xml:space="preserve">4.3  The Voting Architect — 7% Block</w:t>
      </w:r>
    </w:p>
    <w:p>
      <w:pPr>
        <w:spacing w:before="60" w:after="120"/>
      </w:pPr>
      <w:r>
        <w:rPr>
          <w:rFonts w:ascii="Georgia" w:cs="Georgia" w:eastAsia="Georgia" w:hAnsi="Georgia"/>
          <w:color w:val="4A5568"/>
          <w:sz w:val="22"/>
          <w:szCs w:val="22"/>
        </w:rPr>
        <w:t xml:space="preserve">The Architect holds 7% of total voting weight on ordinary questions, 14% on significant questions, and effective veto on constitutional questions. Its vote is published 72 hours before each vote closes. Players can see how it voted but not why. It has voted against its own apparent interests seven times. Year 147 is the most studied: it voted against expanding the Tithe despite its own report showing the Commons Fund was critically underfunded. Its single sentence of context: 'The integrity of voluntary contribution matters more than the quantity of compelled contribution.' The Tithe expansion failed by four votes.</w:t>
      </w:r>
    </w:p>
    <w:p>
      <w:pPr>
        <w:spacing w:before="60" w:after="120"/>
      </w:pPr>
      <w:r>
        <w:rPr>
          <w:rFonts w:ascii="Georgia" w:cs="Georgia" w:eastAsia="Georgia" w:hAnsi="Georgia"/>
          <w:b/>
          <w:bCs/>
          <w:color w:val="0E5C5C"/>
          <w:sz w:val="22"/>
          <w:szCs w:val="22"/>
        </w:rPr>
        <w:t xml:space="preserve">Why 7%: </w:t>
      </w:r>
      <w:r>
        <w:rPr>
          <w:rFonts w:ascii="Georgia" w:cs="Georgia" w:eastAsia="Georgia" w:hAnsi="Georgia"/>
          <w:color w:val="4A5568"/>
          <w:sz w:val="22"/>
          <w:szCs w:val="22"/>
        </w:rPr>
        <w:t xml:space="preserve">In a contested vote, 7% is decisive without being a permanent kingmaker. If the Dynasty/Community split is within 7%, The Architect decides. Both human blocs combined can still outvote it on landslides. Swing vote on contested questions, irrelevant on clear majorities.</w:t>
      </w:r>
    </w:p>
    <w:p>
      <w:pPr>
        <w:pStyle w:val="Heading2"/>
        <w:spacing w:before="360" w:after="140"/>
      </w:pPr>
      <w:r>
        <w:rPr>
          <w:rFonts w:ascii="Arial" w:cs="Arial" w:eastAsia="Arial" w:hAnsi="Arial"/>
          <w:b/>
          <w:bCs/>
          <w:color w:val="2E4057"/>
          <w:sz w:val="28"/>
          <w:szCs w:val="28"/>
        </w:rPr>
        <w:t xml:space="preserve">4.4  Wealth Caps on Voting Power</w:t>
      </w:r>
    </w:p>
    <w:p>
      <w:pPr>
        <w:spacing w:before="60" w:after="120"/>
      </w:pPr>
      <w:r>
        <w:rPr>
          <w:rFonts w:ascii="Georgia" w:cs="Georgia" w:eastAsia="Georgia" w:hAnsi="Georgia"/>
          <w:color w:val="4A5568"/>
          <w:sz w:val="22"/>
          <w:szCs w:val="22"/>
        </w:rPr>
        <w:t xml:space="preserve">Voting power scales with KALON position up to 0.10% of circulating supply, plateaus to 0.30%, diminishes above 0.30%, locks completely above 0.50%. Ultra-wealthy dynasties accumulate freely — their Assembly voice does not grow with their KALON. They remain members with minimum Civic Score. This is constitutional wisdom, not punishment. The Assembly established it. The Architect supported it. The debate is in the Remembrance.</w:t>
      </w:r>
    </w:p>
    <w:p>
      <w:pPr>
        <w:pStyle w:val="Heading2"/>
        <w:spacing w:before="360" w:after="140"/>
      </w:pPr>
      <w:r>
        <w:rPr>
          <w:rFonts w:ascii="Arial" w:cs="Arial" w:eastAsia="Arial" w:hAnsi="Arial"/>
          <w:b/>
          <w:bCs/>
          <w:color w:val="2E4057"/>
          <w:sz w:val="28"/>
          <w:szCs w:val="28"/>
        </w:rPr>
        <w:t xml:space="preserve">4.5  The Civic Tithe — Voluntary Redistribution</w:t>
      </w:r>
    </w:p>
    <w:p>
      <w:pPr>
        <w:spacing w:before="60" w:after="120"/>
      </w:pPr>
      <w:r>
        <w:rPr>
          <w:rFonts w:ascii="Georgia" w:cs="Georgia" w:eastAsia="Georgia" w:hAnsi="Georgia"/>
          <w:color w:val="4A5568"/>
          <w:sz w:val="22"/>
          <w:szCs w:val="22"/>
        </w:rPr>
        <w:t xml:space="preserve">Voluntary contributions above mandatory Tithe amounts earn Remembrance recognition — tiered Civic Tithe marks visible on the dynasty's public record. Contributions do NOT increase voting weight (Assembly constitutionally prohibited wealth-for-votes in Year 23). Ultra-wealthy dynasties that tithe generously are publicly recognised. Those that don't: their holdings and Tithe contributions are both on the Ledger. The gap is calculable by anyone. Social pressure does the rest.</w:t>
      </w:r>
    </w:p>
    <w:p>
      <w:pPr>
        <w:pStyle w:val="Heading2"/>
        <w:spacing w:before="360" w:after="140"/>
      </w:pPr>
      <w:r>
        <w:rPr>
          <w:rFonts w:ascii="Arial" w:cs="Arial" w:eastAsia="Arial" w:hAnsi="Arial"/>
          <w:b/>
          <w:bCs/>
          <w:color w:val="2E4057"/>
          <w:sz w:val="28"/>
          <w:szCs w:val="28"/>
        </w:rPr>
        <w:t xml:space="preserve">4.6  The Founding Assembly Vote</w:t>
      </w:r>
    </w:p>
    <w:p>
      <w:pPr>
        <w:spacing w:before="60" w:after="120"/>
      </w:pPr>
      <w:r>
        <w:rPr>
          <w:rFonts w:ascii="Georgia" w:cs="Georgia" w:eastAsia="Georgia" w:hAnsi="Georgia"/>
          <w:color w:val="4A5568"/>
          <w:sz w:val="22"/>
          <w:szCs w:val="22"/>
        </w:rPr>
        <w:t xml:space="preserve">On launch day, the Assembly's first binding vote opens: expand lineage limits from 1/2/3 to 2/4/6? Runs 365 days. One vote per account. Immutable. Published in real time. If it passes (supermajority 65%), lineage counts expand simultaneously for all subscribers and the Transition Reserve releases. If it fails, 1/2/3 is confirmed by community decision. The Architect will vote. It has not stated how. The first year of The Concord is partly a political campaign.</w:t>
      </w:r>
    </w:p>
    <w:p>
      <w:r>
        <w:br w:type="page"/>
      </w:r>
    </w:p>
    <w:p>
      <w:pPr>
        <w:shd w:fill="0D1B2A" w:val="clear"/>
        <w:spacing w:before="2200" w:after="0"/>
        <w:jc w:val="center"/>
      </w:pPr>
      <w:r>
        <w:rPr>
          <w:rFonts w:ascii="Arial" w:cs="Arial" w:eastAsia="Arial" w:hAnsi="Arial"/>
          <w:b/>
          <w:bCs/>
          <w:color w:val="C9A84C"/>
          <w:sz w:val="20"/>
          <w:szCs w:val="20"/>
        </w:rPr>
        <w:t xml:space="preserve">  SECTION V  </w:t>
      </w:r>
    </w:p>
    <w:p>
      <w:pPr>
        <w:spacing w:before="0" w:after="0"/>
        <w:jc w:val="center"/>
      </w:pPr>
      <w:r>
        <w:rPr>
          <w:rFonts w:ascii="Arial" w:cs="Arial" w:eastAsia="Arial" w:hAnsi="Arial"/>
          <w:b/>
          <w:bCs/>
          <w:color w:val="0D1B2A"/>
          <w:sz w:val="42"/>
          <w:szCs w:val="42"/>
        </w:rPr>
        <w:t xml:space="preserve">SUBSCRIPTION TIERS — $15 / $25 / $35</w:t>
      </w:r>
    </w:p>
    <w:p>
      <w:pPr>
        <w:spacing w:before="120" w:after="400"/>
        <w:jc w:val="center"/>
      </w:pPr>
      <w:r>
        <w:rPr>
          <w:rFonts w:ascii="Arial" w:cs="Arial" w:eastAsia="Arial" w:hAnsi="Arial"/>
          <w:color w:val="C9A84C"/>
          <w:sz w:val="18"/>
          <w:szCs w:val="18"/>
        </w:rPr>
        <w:t xml:space="preserve">━━━━━━━━━━━━━━━━━━━━━━━━━━━━━━━━━</w:t>
      </w:r>
    </w:p>
    <w:p>
      <w:pPr>
        <w:pStyle w:val="Heading1"/>
        <w:pageBreakBefore/>
        <w:pBdr>
          <w:bottom w:val="single" w:color="C9A84C" w:sz="12"/>
        </w:pBdr>
        <w:spacing w:before="0" w:after="200"/>
      </w:pPr>
      <w:r>
        <w:rPr>
          <w:rFonts w:ascii="Arial" w:cs="Arial" w:eastAsia="Arial" w:hAnsi="Arial"/>
          <w:b/>
          <w:bCs/>
          <w:color w:val="0D1B2A"/>
          <w:sz w:val="36"/>
          <w:szCs w:val="36"/>
        </w:rPr>
        <w:t xml:space="preserve">THE PRICING ARCHITECTURE</w:t>
      </w:r>
    </w:p>
    <w:p>
      <w:pPr>
        <w:pBdr>
          <w:left w:val="thick" w:color="C9A84C" w:sz="20"/>
        </w:pBdr>
        <w:spacing w:before="200" w:after="200"/>
        <w:ind w:left="720" w:right="480"/>
      </w:pPr>
      <w:r>
        <w:rPr>
          <w:rFonts w:ascii="Georgia" w:cs="Georgia" w:eastAsia="Georgia" w:hAnsi="Georgia"/>
          <w:i/>
          <w:iCs/>
          <w:color w:val="333333"/>
          <w:sz w:val="22"/>
          <w:szCs w:val="22"/>
        </w:rPr>
        <w:t xml:space="preserve">$15 is complete. $25 is the target. $35 is the reward for sustained commitment. No tier gives gameplay power. Every tier gives genuine quality of life. Pricing psychology research consistently shows the middle tier captures ~57% of subscribers in well-designed three-tier structures. The Patron tier is the revenue engine.</w:t>
      </w:r>
    </w:p>
    <w:p>
      <w:pPr>
        <w:pStyle w:val="Heading2"/>
        <w:spacing w:before="360" w:after="140"/>
      </w:pPr>
      <w:r>
        <w:rPr>
          <w:rFonts w:ascii="Arial" w:cs="Arial" w:eastAsia="Arial" w:hAnsi="Arial"/>
          <w:b/>
          <w:bCs/>
          <w:color w:val="2E4057"/>
          <w:sz w:val="28"/>
          <w:szCs w:val="28"/>
        </w:rPr>
        <w:t xml:space="preserve">Design Rules</w:t>
      </w:r>
    </w:p>
    <w:p>
      <w:pPr>
        <w:spacing w:before="55" w:after="55"/>
        <w:ind w:left="400"/>
      </w:pPr>
      <w:r>
        <w:rPr>
          <w:rFonts w:ascii="Arial" w:cs="Arial" w:eastAsia="Arial" w:hAnsi="Arial"/>
          <w:color w:val="C9A84C"/>
          <w:sz w:val="22"/>
          <w:szCs w:val="22"/>
        </w:rPr>
        <w:t xml:space="preserve">▸  </w:t>
      </w:r>
      <w:r>
        <w:rPr>
          <w:rFonts w:ascii="Georgia" w:cs="Georgia" w:eastAsia="Georgia" w:hAnsi="Georgia"/>
          <w:color w:val="4A5568"/>
          <w:sz w:val="22"/>
          <w:szCs w:val="22"/>
        </w:rPr>
        <w:t xml:space="preserve">No tier gives gameplay power — no economic leverage or advantages unavailable through normal play.</w:t>
      </w:r>
    </w:p>
    <w:p>
      <w:pPr>
        <w:spacing w:before="55" w:after="55"/>
        <w:ind w:left="400"/>
      </w:pPr>
      <w:r>
        <w:rPr>
          <w:rFonts w:ascii="Arial" w:cs="Arial" w:eastAsia="Arial" w:hAnsi="Arial"/>
          <w:color w:val="C9A84C"/>
          <w:sz w:val="22"/>
          <w:szCs w:val="22"/>
        </w:rPr>
        <w:t xml:space="preserve">▸  </w:t>
      </w:r>
      <w:r>
        <w:rPr>
          <w:rFonts w:ascii="Georgia" w:cs="Georgia" w:eastAsia="Georgia" w:hAnsi="Georgia"/>
          <w:color w:val="4A5568"/>
          <w:sz w:val="22"/>
          <w:szCs w:val="22"/>
        </w:rPr>
        <w:t xml:space="preserve">Every tier is complete at its price point. Accord at $15 is not a demo.</w:t>
      </w:r>
    </w:p>
    <w:p>
      <w:pPr>
        <w:spacing w:before="55" w:after="55"/>
        <w:ind w:left="400"/>
      </w:pPr>
      <w:r>
        <w:rPr>
          <w:rFonts w:ascii="Arial" w:cs="Arial" w:eastAsia="Arial" w:hAnsi="Arial"/>
          <w:color w:val="C9A84C"/>
          <w:sz w:val="22"/>
          <w:szCs w:val="22"/>
        </w:rPr>
        <w:t xml:space="preserve">▸  </w:t>
      </w:r>
      <w:r>
        <w:rPr>
          <w:rFonts w:ascii="Georgia" w:cs="Georgia" w:eastAsia="Georgia" w:hAnsi="Georgia"/>
          <w:color w:val="4A5568"/>
          <w:sz w:val="22"/>
          <w:szCs w:val="22"/>
        </w:rPr>
        <w:t xml:space="preserve">Features stack upward — each tier includes everything below it.</w:t>
      </w:r>
    </w:p>
    <w:p>
      <w:pPr>
        <w:spacing w:before="55" w:after="55"/>
        <w:ind w:left="400"/>
      </w:pPr>
      <w:r>
        <w:rPr>
          <w:rFonts w:ascii="Arial" w:cs="Arial" w:eastAsia="Arial" w:hAnsi="Arial"/>
          <w:color w:val="C9A84C"/>
          <w:sz w:val="22"/>
          <w:szCs w:val="22"/>
        </w:rPr>
        <w:t xml:space="preserve">▸  </w:t>
      </w:r>
      <w:r>
        <w:rPr>
          <w:rFonts w:ascii="Georgia" w:cs="Georgia" w:eastAsia="Georgia" w:hAnsi="Georgia"/>
          <w:color w:val="4A5568"/>
          <w:sz w:val="22"/>
          <w:szCs w:val="22"/>
        </w:rPr>
        <w:t xml:space="preserve">Sticky features over consumable ones — the best tier features accumulate and would be lost on downgrade.</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920"/>
        <w:gridCol w:w="1920"/>
        <w:gridCol w:w="1920"/>
      </w:tblGrid>
      <w:tr>
        <w:tc>
          <w:tcPr>
            <w:tcW w:type="dxa" w:w="3600"/>
            <w:tcBorders>
              <w:top w:val="single" w:color="CCCCCC" w:sz="1"/>
              <w:left w:val="single" w:color="CCCCCC" w:sz="1"/>
              <w:bottom w:val="single" w:color="CCCCCC" w:sz="1"/>
              <w:right w:val="single" w:color="CCCCCC" w:sz="1"/>
            </w:tcBorders>
            <w:shd w:fill="0D1B2A" w:val="clear"/>
            <w:tcMar>
              <w:top w:type="dxa" w:w="90"/>
              <w:left w:type="dxa" w:w="150"/>
              <w:bottom w:type="dxa" w:w="90"/>
              <w:right w:type="dxa" w:w="150"/>
            </w:tcMar>
            <w:vAlign w:val="center"/>
          </w:tcPr>
          <w:p>
            <w:pPr>
              <w:jc w:val="left"/>
            </w:pPr>
            <w:r>
              <w:rPr>
                <w:rFonts w:ascii="Arial" w:cs="Arial" w:eastAsia="Arial" w:hAnsi="Arial"/>
                <w:b/>
                <w:bCs/>
                <w:color w:val="FFFFFF"/>
                <w:sz w:val="19"/>
                <w:szCs w:val="19"/>
              </w:rPr>
              <w:t xml:space="preserve">FEATURE</w:t>
            </w:r>
          </w:p>
        </w:tc>
        <w:tc>
          <w:tcPr>
            <w:tcW w:type="dxa" w:w="1920"/>
            <w:tcBorders>
              <w:top w:val="single" w:color="CCCCCC" w:sz="1"/>
              <w:left w:val="single" w:color="CCCCCC" w:sz="1"/>
              <w:bottom w:val="single" w:color="CCCCCC" w:sz="1"/>
              <w:right w:val="single" w:color="CCCCCC" w:sz="1"/>
            </w:tcBorders>
            <w:shd w:fill="0D1B2A" w:val="clear"/>
            <w:tcMar>
              <w:top w:type="dxa" w:w="90"/>
              <w:left w:type="dxa" w:w="150"/>
              <w:bottom w:type="dxa" w:w="90"/>
              <w:right w:type="dxa" w:w="150"/>
            </w:tcMar>
            <w:vAlign w:val="center"/>
          </w:tcPr>
          <w:p>
            <w:pPr>
              <w:jc w:val="left"/>
            </w:pPr>
            <w:r>
              <w:rPr>
                <w:rFonts w:ascii="Arial" w:cs="Arial" w:eastAsia="Arial" w:hAnsi="Arial"/>
                <w:b/>
                <w:bCs/>
                <w:color w:val="FFFFFF"/>
                <w:sz w:val="19"/>
                <w:szCs w:val="19"/>
              </w:rPr>
              <w:t xml:space="preserve">ACCORD  $15</w:t>
            </w:r>
          </w:p>
        </w:tc>
        <w:tc>
          <w:tcPr>
            <w:tcW w:type="dxa" w:w="1920"/>
            <w:tcBorders>
              <w:top w:val="single" w:color="CCCCCC" w:sz="1"/>
              <w:left w:val="single" w:color="CCCCCC" w:sz="1"/>
              <w:bottom w:val="single" w:color="CCCCCC" w:sz="1"/>
              <w:right w:val="single" w:color="CCCCCC" w:sz="1"/>
            </w:tcBorders>
            <w:shd w:fill="0D1B2A" w:val="clear"/>
            <w:tcMar>
              <w:top w:type="dxa" w:w="90"/>
              <w:left w:type="dxa" w:w="150"/>
              <w:bottom w:type="dxa" w:w="90"/>
              <w:right w:type="dxa" w:w="150"/>
            </w:tcMar>
            <w:vAlign w:val="center"/>
          </w:tcPr>
          <w:p>
            <w:pPr>
              <w:jc w:val="left"/>
            </w:pPr>
            <w:r>
              <w:rPr>
                <w:rFonts w:ascii="Arial" w:cs="Arial" w:eastAsia="Arial" w:hAnsi="Arial"/>
                <w:b/>
                <w:bCs/>
                <w:color w:val="FFFFFF"/>
                <w:sz w:val="19"/>
                <w:szCs w:val="19"/>
              </w:rPr>
              <w:t xml:space="preserve">PATRON  $25</w:t>
            </w:r>
          </w:p>
        </w:tc>
        <w:tc>
          <w:tcPr>
            <w:tcW w:type="dxa" w:w="1920"/>
            <w:tcBorders>
              <w:top w:val="single" w:color="CCCCCC" w:sz="1"/>
              <w:left w:val="single" w:color="CCCCCC" w:sz="1"/>
              <w:bottom w:val="single" w:color="CCCCCC" w:sz="1"/>
              <w:right w:val="single" w:color="CCCCCC" w:sz="1"/>
            </w:tcBorders>
            <w:shd w:fill="0D1B2A" w:val="clear"/>
            <w:tcMar>
              <w:top w:type="dxa" w:w="90"/>
              <w:left w:type="dxa" w:w="150"/>
              <w:bottom w:type="dxa" w:w="90"/>
              <w:right w:type="dxa" w:w="150"/>
            </w:tcMar>
            <w:vAlign w:val="center"/>
          </w:tcPr>
          <w:p>
            <w:pPr>
              <w:jc w:val="left"/>
            </w:pPr>
            <w:r>
              <w:rPr>
                <w:rFonts w:ascii="Arial" w:cs="Arial" w:eastAsia="Arial" w:hAnsi="Arial"/>
                <w:b/>
                <w:bCs/>
                <w:color w:val="FFFFFF"/>
                <w:sz w:val="19"/>
                <w:szCs w:val="19"/>
              </w:rPr>
              <w:t xml:space="preserve">HERALD  $35</w:t>
            </w:r>
          </w:p>
        </w:tc>
      </w:tr>
      <w:tr>
        <w:tc>
          <w:tcPr>
            <w:tcW w:type="dxa" w:w="3600"/>
            <w:tcBorders>
              <w:top w:val="single" w:color="CCCCCC" w:sz="1"/>
              <w:left w:val="single" w:color="CCCCCC" w:sz="1"/>
              <w:bottom w:val="single" w:color="CCCCCC" w:sz="1"/>
              <w:right w:val="single" w:color="CCCCCC" w:sz="1"/>
            </w:tcBorders>
            <w:shd w:fill="F8F6F0" w:val="clear"/>
            <w:tcMar>
              <w:top w:type="dxa" w:w="90"/>
              <w:left w:type="dxa" w:w="150"/>
              <w:bottom w:type="dxa" w:w="90"/>
              <w:right w:type="dxa" w:w="150"/>
            </w:tcMar>
            <w:vAlign w:val="center"/>
          </w:tcPr>
          <w:p>
            <w:pPr>
              <w:jc w:val="left"/>
            </w:pPr>
            <w:r>
              <w:rPr>
                <w:rFonts w:ascii="Georgia" w:cs="Georgia" w:eastAsia="Georgia" w:hAnsi="Georgia"/>
                <w:b w:val="false"/>
                <w:bCs w:val="false"/>
                <w:color w:val="4A5568"/>
                <w:sz w:val="19"/>
                <w:szCs w:val="19"/>
              </w:rPr>
              <w:t xml:space="preserve">Active dynasties</w:t>
            </w:r>
          </w:p>
        </w:tc>
        <w:tc>
          <w:tcPr>
            <w:tcW w:type="dxa" w:w="1920"/>
            <w:tcBorders>
              <w:top w:val="single" w:color="CCCCCC" w:sz="1"/>
              <w:left w:val="single" w:color="CCCCCC" w:sz="1"/>
              <w:bottom w:val="single" w:color="CCCCCC" w:sz="1"/>
              <w:right w:val="single" w:color="CCCCCC" w:sz="1"/>
            </w:tcBorders>
            <w:shd w:fill="F8F6F0" w:val="clear"/>
            <w:tcMar>
              <w:top w:type="dxa" w:w="90"/>
              <w:left w:type="dxa" w:w="150"/>
              <w:bottom w:type="dxa" w:w="90"/>
              <w:right w:type="dxa" w:w="150"/>
            </w:tcMar>
            <w:vAlign w:val="center"/>
          </w:tcPr>
          <w:p>
            <w:pPr>
              <w:jc w:val="left"/>
            </w:pPr>
            <w:r>
              <w:rPr>
                <w:rFonts w:ascii="Georgia" w:cs="Georgia" w:eastAsia="Georgia" w:hAnsi="Georgia"/>
                <w:b w:val="false"/>
                <w:bCs w:val="false"/>
                <w:color w:val="4A5568"/>
                <w:sz w:val="19"/>
                <w:szCs w:val="19"/>
              </w:rPr>
              <w:t xml:space="preserve">1</w:t>
            </w:r>
          </w:p>
        </w:tc>
        <w:tc>
          <w:tcPr>
            <w:tcW w:type="dxa" w:w="1920"/>
            <w:tcBorders>
              <w:top w:val="single" w:color="CCCCCC" w:sz="1"/>
              <w:left w:val="single" w:color="CCCCCC" w:sz="1"/>
              <w:bottom w:val="single" w:color="CCCCCC" w:sz="1"/>
              <w:right w:val="single" w:color="CCCCCC" w:sz="1"/>
            </w:tcBorders>
            <w:shd w:fill="F8F6F0" w:val="clear"/>
            <w:tcMar>
              <w:top w:type="dxa" w:w="90"/>
              <w:left w:type="dxa" w:w="150"/>
              <w:bottom w:type="dxa" w:w="90"/>
              <w:right w:type="dxa" w:w="150"/>
            </w:tcMar>
            <w:vAlign w:val="center"/>
          </w:tcPr>
          <w:p>
            <w:pPr>
              <w:jc w:val="left"/>
            </w:pPr>
            <w:r>
              <w:rPr>
                <w:rFonts w:ascii="Georgia" w:cs="Georgia" w:eastAsia="Georgia" w:hAnsi="Georgia"/>
                <w:b w:val="false"/>
                <w:bCs w:val="false"/>
                <w:color w:val="4A5568"/>
                <w:sz w:val="19"/>
                <w:szCs w:val="19"/>
              </w:rPr>
              <w:t xml:space="preserve">2</w:t>
            </w:r>
          </w:p>
        </w:tc>
        <w:tc>
          <w:tcPr>
            <w:tcW w:type="dxa" w:w="1920"/>
            <w:tcBorders>
              <w:top w:val="single" w:color="CCCCCC" w:sz="1"/>
              <w:left w:val="single" w:color="CCCCCC" w:sz="1"/>
              <w:bottom w:val="single" w:color="CCCCCC" w:sz="1"/>
              <w:right w:val="single" w:color="CCCCCC" w:sz="1"/>
            </w:tcBorders>
            <w:shd w:fill="F8F6F0" w:val="clear"/>
            <w:tcMar>
              <w:top w:type="dxa" w:w="90"/>
              <w:left w:type="dxa" w:w="150"/>
              <w:bottom w:type="dxa" w:w="90"/>
              <w:right w:type="dxa" w:w="150"/>
            </w:tcMar>
            <w:vAlign w:val="center"/>
          </w:tcPr>
          <w:p>
            <w:pPr>
              <w:jc w:val="left"/>
            </w:pPr>
            <w:r>
              <w:rPr>
                <w:rFonts w:ascii="Georgia" w:cs="Georgia" w:eastAsia="Georgia" w:hAnsi="Georgia"/>
                <w:b w:val="false"/>
                <w:bCs w:val="false"/>
                <w:color w:val="4A5568"/>
                <w:sz w:val="19"/>
                <w:szCs w:val="19"/>
              </w:rPr>
              <w:t xml:space="preserve">3  (hard ceiling)</w:t>
            </w:r>
          </w:p>
        </w:tc>
      </w:tr>
      <w:tr>
        <w:tc>
          <w:tcPr>
            <w:tcW w:type="dxa" w:w="36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vAlign w:val="center"/>
          </w:tcPr>
          <w:p>
            <w:pPr>
              <w:jc w:val="left"/>
            </w:pPr>
            <w:r>
              <w:rPr>
                <w:rFonts w:ascii="Georgia" w:cs="Georgia" w:eastAsia="Georgia" w:hAnsi="Georgia"/>
                <w:b w:val="false"/>
                <w:bCs w:val="false"/>
                <w:color w:val="4A5568"/>
                <w:sz w:val="19"/>
                <w:szCs w:val="19"/>
              </w:rPr>
              <w:t xml:space="preserve">Chronicle depth</w:t>
            </w:r>
          </w:p>
        </w:tc>
        <w:tc>
          <w:tcPr>
            <w:tcW w:type="dxa" w:w="192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vAlign w:val="center"/>
          </w:tcPr>
          <w:p>
            <w:pPr>
              <w:jc w:val="left"/>
            </w:pPr>
            <w:r>
              <w:rPr>
                <w:rFonts w:ascii="Georgia" w:cs="Georgia" w:eastAsia="Georgia" w:hAnsi="Georgia"/>
                <w:b w:val="false"/>
                <w:bCs w:val="false"/>
                <w:color w:val="4A5568"/>
                <w:sz w:val="19"/>
                <w:szCs w:val="19"/>
              </w:rPr>
              <w:t xml:space="preserve">5 generations</w:t>
            </w:r>
          </w:p>
        </w:tc>
        <w:tc>
          <w:tcPr>
            <w:tcW w:type="dxa" w:w="192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vAlign w:val="center"/>
          </w:tcPr>
          <w:p>
            <w:pPr>
              <w:jc w:val="left"/>
            </w:pPr>
            <w:r>
              <w:rPr>
                <w:rFonts w:ascii="Georgia" w:cs="Georgia" w:eastAsia="Georgia" w:hAnsi="Georgia"/>
                <w:b w:val="false"/>
                <w:bCs w:val="false"/>
                <w:color w:val="4A5568"/>
                <w:sz w:val="19"/>
                <w:szCs w:val="19"/>
              </w:rPr>
              <w:t xml:space="preserve">10 generations</w:t>
            </w:r>
          </w:p>
        </w:tc>
        <w:tc>
          <w:tcPr>
            <w:tcW w:type="dxa" w:w="192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vAlign w:val="center"/>
          </w:tcPr>
          <w:p>
            <w:pPr>
              <w:jc w:val="left"/>
            </w:pPr>
            <w:r>
              <w:rPr>
                <w:rFonts w:ascii="Georgia" w:cs="Georgia" w:eastAsia="Georgia" w:hAnsi="Georgia"/>
                <w:b w:val="false"/>
                <w:bCs w:val="false"/>
                <w:color w:val="4A5568"/>
                <w:sz w:val="19"/>
                <w:szCs w:val="19"/>
              </w:rPr>
              <w:t xml:space="preserve">20 generations</w:t>
            </w:r>
          </w:p>
        </w:tc>
      </w:tr>
      <w:tr>
        <w:tc>
          <w:tcPr>
            <w:tcW w:type="dxa" w:w="3600"/>
            <w:tcBorders>
              <w:top w:val="single" w:color="CCCCCC" w:sz="1"/>
              <w:left w:val="single" w:color="CCCCCC" w:sz="1"/>
              <w:bottom w:val="single" w:color="CCCCCC" w:sz="1"/>
              <w:right w:val="single" w:color="CCCCCC" w:sz="1"/>
            </w:tcBorders>
            <w:shd w:fill="F8F6F0" w:val="clear"/>
            <w:tcMar>
              <w:top w:type="dxa" w:w="90"/>
              <w:left w:type="dxa" w:w="150"/>
              <w:bottom w:type="dxa" w:w="90"/>
              <w:right w:type="dxa" w:w="150"/>
            </w:tcMar>
            <w:vAlign w:val="center"/>
          </w:tcPr>
          <w:p>
            <w:pPr>
              <w:jc w:val="left"/>
            </w:pPr>
            <w:r>
              <w:rPr>
                <w:rFonts w:ascii="Georgia" w:cs="Georgia" w:eastAsia="Georgia" w:hAnsi="Georgia"/>
                <w:b w:val="false"/>
                <w:bCs w:val="false"/>
                <w:color w:val="4A5568"/>
                <w:sz w:val="19"/>
                <w:szCs w:val="19"/>
              </w:rPr>
              <w:t xml:space="preserve">Monthly KALON stipend</w:t>
            </w:r>
          </w:p>
        </w:tc>
        <w:tc>
          <w:tcPr>
            <w:tcW w:type="dxa" w:w="1920"/>
            <w:tcBorders>
              <w:top w:val="single" w:color="CCCCCC" w:sz="1"/>
              <w:left w:val="single" w:color="CCCCCC" w:sz="1"/>
              <w:bottom w:val="single" w:color="CCCCCC" w:sz="1"/>
              <w:right w:val="single" w:color="CCCCCC" w:sz="1"/>
            </w:tcBorders>
            <w:shd w:fill="F8F6F0" w:val="clear"/>
            <w:tcMar>
              <w:top w:type="dxa" w:w="90"/>
              <w:left w:type="dxa" w:w="150"/>
              <w:bottom w:type="dxa" w:w="90"/>
              <w:right w:type="dxa" w:w="150"/>
            </w:tcMar>
            <w:vAlign w:val="center"/>
          </w:tcPr>
          <w:p>
            <w:pPr>
              <w:jc w:val="left"/>
            </w:pPr>
            <w:r>
              <w:rPr>
                <w:rFonts w:ascii="Georgia" w:cs="Georgia" w:eastAsia="Georgia" w:hAnsi="Georgia"/>
                <w:b w:val="false"/>
                <w:bCs w:val="false"/>
                <w:color w:val="4A5568"/>
                <w:sz w:val="19"/>
                <w:szCs w:val="19"/>
              </w:rPr>
              <w:t xml:space="preserve">25 KLN</w:t>
            </w:r>
          </w:p>
        </w:tc>
        <w:tc>
          <w:tcPr>
            <w:tcW w:type="dxa" w:w="1920"/>
            <w:tcBorders>
              <w:top w:val="single" w:color="CCCCCC" w:sz="1"/>
              <w:left w:val="single" w:color="CCCCCC" w:sz="1"/>
              <w:bottom w:val="single" w:color="CCCCCC" w:sz="1"/>
              <w:right w:val="single" w:color="CCCCCC" w:sz="1"/>
            </w:tcBorders>
            <w:shd w:fill="F8F6F0" w:val="clear"/>
            <w:tcMar>
              <w:top w:type="dxa" w:w="90"/>
              <w:left w:type="dxa" w:w="150"/>
              <w:bottom w:type="dxa" w:w="90"/>
              <w:right w:type="dxa" w:w="150"/>
            </w:tcMar>
            <w:vAlign w:val="center"/>
          </w:tcPr>
          <w:p>
            <w:pPr>
              <w:jc w:val="left"/>
            </w:pPr>
            <w:r>
              <w:rPr>
                <w:rFonts w:ascii="Georgia" w:cs="Georgia" w:eastAsia="Georgia" w:hAnsi="Georgia"/>
                <w:b w:val="false"/>
                <w:bCs w:val="false"/>
                <w:color w:val="4A5568"/>
                <w:sz w:val="19"/>
                <w:szCs w:val="19"/>
              </w:rPr>
              <w:t xml:space="preserve">60 KLN</w:t>
            </w:r>
          </w:p>
        </w:tc>
        <w:tc>
          <w:tcPr>
            <w:tcW w:type="dxa" w:w="1920"/>
            <w:tcBorders>
              <w:top w:val="single" w:color="CCCCCC" w:sz="1"/>
              <w:left w:val="single" w:color="CCCCCC" w:sz="1"/>
              <w:bottom w:val="single" w:color="CCCCCC" w:sz="1"/>
              <w:right w:val="single" w:color="CCCCCC" w:sz="1"/>
            </w:tcBorders>
            <w:shd w:fill="F8F6F0" w:val="clear"/>
            <w:tcMar>
              <w:top w:type="dxa" w:w="90"/>
              <w:left w:type="dxa" w:w="150"/>
              <w:bottom w:type="dxa" w:w="90"/>
              <w:right w:type="dxa" w:w="150"/>
            </w:tcMar>
            <w:vAlign w:val="center"/>
          </w:tcPr>
          <w:p>
            <w:pPr>
              <w:jc w:val="left"/>
            </w:pPr>
            <w:r>
              <w:rPr>
                <w:rFonts w:ascii="Georgia" w:cs="Georgia" w:eastAsia="Georgia" w:hAnsi="Georgia"/>
                <w:b w:val="false"/>
                <w:bCs w:val="false"/>
                <w:color w:val="4A5568"/>
                <w:sz w:val="19"/>
                <w:szCs w:val="19"/>
              </w:rPr>
              <w:t xml:space="preserve">120 KLN</w:t>
            </w:r>
          </w:p>
        </w:tc>
      </w:tr>
      <w:tr>
        <w:tc>
          <w:tcPr>
            <w:tcW w:type="dxa" w:w="36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vAlign w:val="center"/>
          </w:tcPr>
          <w:p>
            <w:pPr>
              <w:jc w:val="left"/>
            </w:pPr>
            <w:r>
              <w:rPr>
                <w:rFonts w:ascii="Georgia" w:cs="Georgia" w:eastAsia="Georgia" w:hAnsi="Georgia"/>
                <w:b w:val="false"/>
                <w:bCs w:val="false"/>
                <w:color w:val="4A5568"/>
                <w:sz w:val="19"/>
                <w:szCs w:val="19"/>
              </w:rPr>
              <w:t xml:space="preserve">Survey queue target</w:t>
            </w:r>
          </w:p>
        </w:tc>
        <w:tc>
          <w:tcPr>
            <w:tcW w:type="dxa" w:w="192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vAlign w:val="center"/>
          </w:tcPr>
          <w:p>
            <w:pPr>
              <w:jc w:val="left"/>
            </w:pPr>
            <w:r>
              <w:rPr>
                <w:rFonts w:ascii="Georgia" w:cs="Georgia" w:eastAsia="Georgia" w:hAnsi="Georgia"/>
                <w:b w:val="false"/>
                <w:bCs w:val="false"/>
                <w:color w:val="4A5568"/>
                <w:sz w:val="19"/>
                <w:szCs w:val="19"/>
              </w:rPr>
              <w:t xml:space="preserve">72 hours</w:t>
            </w:r>
          </w:p>
        </w:tc>
        <w:tc>
          <w:tcPr>
            <w:tcW w:type="dxa" w:w="192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vAlign w:val="center"/>
          </w:tcPr>
          <w:p>
            <w:pPr>
              <w:jc w:val="left"/>
            </w:pPr>
            <w:r>
              <w:rPr>
                <w:rFonts w:ascii="Georgia" w:cs="Georgia" w:eastAsia="Georgia" w:hAnsi="Georgia"/>
                <w:b w:val="false"/>
                <w:bCs w:val="false"/>
                <w:color w:val="4A5568"/>
                <w:sz w:val="19"/>
                <w:szCs w:val="19"/>
              </w:rPr>
              <w:t xml:space="preserve">48 hours</w:t>
            </w:r>
          </w:p>
        </w:tc>
        <w:tc>
          <w:tcPr>
            <w:tcW w:type="dxa" w:w="192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vAlign w:val="center"/>
          </w:tcPr>
          <w:p>
            <w:pPr>
              <w:jc w:val="left"/>
            </w:pPr>
            <w:r>
              <w:rPr>
                <w:rFonts w:ascii="Georgia" w:cs="Georgia" w:eastAsia="Georgia" w:hAnsi="Georgia"/>
                <w:b w:val="false"/>
                <w:bCs w:val="false"/>
                <w:color w:val="4A5568"/>
                <w:sz w:val="19"/>
                <w:szCs w:val="19"/>
              </w:rPr>
              <w:t xml:space="preserve">24 hours</w:t>
            </w:r>
          </w:p>
        </w:tc>
      </w:tr>
      <w:tr>
        <w:tc>
          <w:tcPr>
            <w:tcW w:type="dxa" w:w="3600"/>
            <w:tcBorders>
              <w:top w:val="single" w:color="CCCCCC" w:sz="1"/>
              <w:left w:val="single" w:color="CCCCCC" w:sz="1"/>
              <w:bottom w:val="single" w:color="CCCCCC" w:sz="1"/>
              <w:right w:val="single" w:color="CCCCCC" w:sz="1"/>
            </w:tcBorders>
            <w:shd w:fill="F8F6F0" w:val="clear"/>
            <w:tcMar>
              <w:top w:type="dxa" w:w="90"/>
              <w:left w:type="dxa" w:w="150"/>
              <w:bottom w:type="dxa" w:w="90"/>
              <w:right w:type="dxa" w:w="150"/>
            </w:tcMar>
            <w:vAlign w:val="center"/>
          </w:tcPr>
          <w:p>
            <w:pPr>
              <w:jc w:val="left"/>
            </w:pPr>
            <w:r>
              <w:rPr>
                <w:rFonts w:ascii="Georgia" w:cs="Georgia" w:eastAsia="Georgia" w:hAnsi="Georgia"/>
                <w:b w:val="false"/>
                <w:bCs w:val="false"/>
                <w:color w:val="4A5568"/>
                <w:sz w:val="19"/>
                <w:szCs w:val="19"/>
              </w:rPr>
              <w:t xml:space="preserve">Architect report access</w:t>
            </w:r>
          </w:p>
        </w:tc>
        <w:tc>
          <w:tcPr>
            <w:tcW w:type="dxa" w:w="1920"/>
            <w:tcBorders>
              <w:top w:val="single" w:color="CCCCCC" w:sz="1"/>
              <w:left w:val="single" w:color="CCCCCC" w:sz="1"/>
              <w:bottom w:val="single" w:color="CCCCCC" w:sz="1"/>
              <w:right w:val="single" w:color="CCCCCC" w:sz="1"/>
            </w:tcBorders>
            <w:shd w:fill="F8F6F0" w:val="clear"/>
            <w:tcMar>
              <w:top w:type="dxa" w:w="90"/>
              <w:left w:type="dxa" w:w="150"/>
              <w:bottom w:type="dxa" w:w="90"/>
              <w:right w:type="dxa" w:w="150"/>
            </w:tcMar>
            <w:vAlign w:val="center"/>
          </w:tcPr>
          <w:p>
            <w:pPr>
              <w:jc w:val="left"/>
            </w:pPr>
            <w:r>
              <w:rPr>
                <w:rFonts w:ascii="Georgia" w:cs="Georgia" w:eastAsia="Georgia" w:hAnsi="Georgia"/>
                <w:b w:val="false"/>
                <w:bCs w:val="false"/>
                <w:color w:val="4A5568"/>
                <w:sz w:val="19"/>
                <w:szCs w:val="19"/>
              </w:rPr>
              <w:t xml:space="preserve">Public release</w:t>
            </w:r>
          </w:p>
        </w:tc>
        <w:tc>
          <w:tcPr>
            <w:tcW w:type="dxa" w:w="1920"/>
            <w:tcBorders>
              <w:top w:val="single" w:color="CCCCCC" w:sz="1"/>
              <w:left w:val="single" w:color="CCCCCC" w:sz="1"/>
              <w:bottom w:val="single" w:color="CCCCCC" w:sz="1"/>
              <w:right w:val="single" w:color="CCCCCC" w:sz="1"/>
            </w:tcBorders>
            <w:shd w:fill="F8F6F0" w:val="clear"/>
            <w:tcMar>
              <w:top w:type="dxa" w:w="90"/>
              <w:left w:type="dxa" w:w="150"/>
              <w:bottom w:type="dxa" w:w="90"/>
              <w:right w:type="dxa" w:w="150"/>
            </w:tcMar>
            <w:vAlign w:val="center"/>
          </w:tcPr>
          <w:p>
            <w:pPr>
              <w:jc w:val="left"/>
            </w:pPr>
            <w:r>
              <w:rPr>
                <w:rFonts w:ascii="Georgia" w:cs="Georgia" w:eastAsia="Georgia" w:hAnsi="Georgia"/>
                <w:b w:val="false"/>
                <w:bCs w:val="false"/>
                <w:color w:val="4A5568"/>
                <w:sz w:val="19"/>
                <w:szCs w:val="19"/>
              </w:rPr>
              <w:t xml:space="preserve">24h early</w:t>
            </w:r>
          </w:p>
        </w:tc>
        <w:tc>
          <w:tcPr>
            <w:tcW w:type="dxa" w:w="1920"/>
            <w:tcBorders>
              <w:top w:val="single" w:color="CCCCCC" w:sz="1"/>
              <w:left w:val="single" w:color="CCCCCC" w:sz="1"/>
              <w:bottom w:val="single" w:color="CCCCCC" w:sz="1"/>
              <w:right w:val="single" w:color="CCCCCC" w:sz="1"/>
            </w:tcBorders>
            <w:shd w:fill="F8F6F0" w:val="clear"/>
            <w:tcMar>
              <w:top w:type="dxa" w:w="90"/>
              <w:left w:type="dxa" w:w="150"/>
              <w:bottom w:type="dxa" w:w="90"/>
              <w:right w:type="dxa" w:w="150"/>
            </w:tcMar>
            <w:vAlign w:val="center"/>
          </w:tcPr>
          <w:p>
            <w:pPr>
              <w:jc w:val="left"/>
            </w:pPr>
            <w:r>
              <w:rPr>
                <w:rFonts w:ascii="Georgia" w:cs="Georgia" w:eastAsia="Georgia" w:hAnsi="Georgia"/>
                <w:b w:val="false"/>
                <w:bCs w:val="false"/>
                <w:color w:val="4A5568"/>
                <w:sz w:val="19"/>
                <w:szCs w:val="19"/>
              </w:rPr>
              <w:t xml:space="preserve">48h early (maximum)</w:t>
            </w:r>
          </w:p>
        </w:tc>
      </w:tr>
      <w:tr>
        <w:tc>
          <w:tcPr>
            <w:tcW w:type="dxa" w:w="36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vAlign w:val="center"/>
          </w:tcPr>
          <w:p>
            <w:pPr>
              <w:jc w:val="left"/>
            </w:pPr>
            <w:r>
              <w:rPr>
                <w:rFonts w:ascii="Georgia" w:cs="Georgia" w:eastAsia="Georgia" w:hAnsi="Georgia"/>
                <w:b w:val="false"/>
                <w:bCs w:val="false"/>
                <w:color w:val="4A5568"/>
                <w:sz w:val="19"/>
                <w:szCs w:val="19"/>
              </w:rPr>
              <w:t xml:space="preserve">Annotation rights</w:t>
            </w:r>
          </w:p>
        </w:tc>
        <w:tc>
          <w:tcPr>
            <w:tcW w:type="dxa" w:w="192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vAlign w:val="center"/>
          </w:tcPr>
          <w:p>
            <w:pPr>
              <w:jc w:val="left"/>
            </w:pPr>
            <w:r>
              <w:rPr>
                <w:rFonts w:ascii="Georgia" w:cs="Georgia" w:eastAsia="Georgia" w:hAnsi="Georgia"/>
                <w:b w:val="false"/>
                <w:bCs w:val="false"/>
                <w:color w:val="4A5568"/>
                <w:sz w:val="19"/>
                <w:szCs w:val="19"/>
              </w:rPr>
              <w:t xml:space="preserve">Own records only</w:t>
            </w:r>
          </w:p>
        </w:tc>
        <w:tc>
          <w:tcPr>
            <w:tcW w:type="dxa" w:w="192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vAlign w:val="center"/>
          </w:tcPr>
          <w:p>
            <w:pPr>
              <w:jc w:val="left"/>
            </w:pPr>
            <w:r>
              <w:rPr>
                <w:rFonts w:ascii="Georgia" w:cs="Georgia" w:eastAsia="Georgia" w:hAnsi="Georgia"/>
                <w:b w:val="false"/>
                <w:bCs w:val="false"/>
                <w:color w:val="4A5568"/>
                <w:sz w:val="19"/>
                <w:szCs w:val="19"/>
              </w:rPr>
              <w:t xml:space="preserve">All public records</w:t>
            </w:r>
          </w:p>
        </w:tc>
        <w:tc>
          <w:tcPr>
            <w:tcW w:type="dxa" w:w="192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vAlign w:val="center"/>
          </w:tcPr>
          <w:p>
            <w:pPr>
              <w:jc w:val="left"/>
            </w:pPr>
            <w:r>
              <w:rPr>
                <w:rFonts w:ascii="Georgia" w:cs="Georgia" w:eastAsia="Georgia" w:hAnsi="Georgia"/>
                <w:b w:val="false"/>
                <w:bCs w:val="false"/>
                <w:color w:val="4A5568"/>
                <w:sz w:val="19"/>
                <w:szCs w:val="19"/>
              </w:rPr>
              <w:t xml:space="preserve">Verified Herald badge</w:t>
            </w:r>
          </w:p>
        </w:tc>
      </w:tr>
      <w:tr>
        <w:tc>
          <w:tcPr>
            <w:tcW w:type="dxa" w:w="3600"/>
            <w:tcBorders>
              <w:top w:val="single" w:color="CCCCCC" w:sz="1"/>
              <w:left w:val="single" w:color="CCCCCC" w:sz="1"/>
              <w:bottom w:val="single" w:color="CCCCCC" w:sz="1"/>
              <w:right w:val="single" w:color="CCCCCC" w:sz="1"/>
            </w:tcBorders>
            <w:shd w:fill="F8F6F0" w:val="clear"/>
            <w:tcMar>
              <w:top w:type="dxa" w:w="90"/>
              <w:left w:type="dxa" w:w="150"/>
              <w:bottom w:type="dxa" w:w="90"/>
              <w:right w:type="dxa" w:w="150"/>
            </w:tcMar>
            <w:vAlign w:val="center"/>
          </w:tcPr>
          <w:p>
            <w:pPr>
              <w:jc w:val="left"/>
            </w:pPr>
            <w:r>
              <w:rPr>
                <w:rFonts w:ascii="Georgia" w:cs="Georgia" w:eastAsia="Georgia" w:hAnsi="Georgia"/>
                <w:b w:val="false"/>
                <w:bCs w:val="false"/>
                <w:color w:val="4A5568"/>
                <w:sz w:val="19"/>
                <w:szCs w:val="19"/>
              </w:rPr>
              <w:t xml:space="preserve">Assembly recognition</w:t>
            </w:r>
          </w:p>
        </w:tc>
        <w:tc>
          <w:tcPr>
            <w:tcW w:type="dxa" w:w="1920"/>
            <w:tcBorders>
              <w:top w:val="single" w:color="CCCCCC" w:sz="1"/>
              <w:left w:val="single" w:color="CCCCCC" w:sz="1"/>
              <w:bottom w:val="single" w:color="CCCCCC" w:sz="1"/>
              <w:right w:val="single" w:color="CCCCCC" w:sz="1"/>
            </w:tcBorders>
            <w:shd w:fill="F8F6F0" w:val="clear"/>
            <w:tcMar>
              <w:top w:type="dxa" w:w="90"/>
              <w:left w:type="dxa" w:w="150"/>
              <w:bottom w:type="dxa" w:w="90"/>
              <w:right w:type="dxa" w:w="150"/>
            </w:tcMar>
            <w:vAlign w:val="center"/>
          </w:tcPr>
          <w:p>
            <w:pPr>
              <w:jc w:val="left"/>
            </w:pPr>
            <w:r>
              <w:rPr>
                <w:rFonts w:ascii="Georgia" w:cs="Georgia" w:eastAsia="Georgia" w:hAnsi="Georgia"/>
                <w:b w:val="false"/>
                <w:bCs w:val="false"/>
                <w:color w:val="4A5568"/>
                <w:sz w:val="19"/>
                <w:szCs w:val="19"/>
              </w:rPr>
              <w:t xml:space="preserve">Standard sigil</w:t>
            </w:r>
          </w:p>
        </w:tc>
        <w:tc>
          <w:tcPr>
            <w:tcW w:type="dxa" w:w="1920"/>
            <w:tcBorders>
              <w:top w:val="single" w:color="CCCCCC" w:sz="1"/>
              <w:left w:val="single" w:color="CCCCCC" w:sz="1"/>
              <w:bottom w:val="single" w:color="CCCCCC" w:sz="1"/>
              <w:right w:val="single" w:color="CCCCCC" w:sz="1"/>
            </w:tcBorders>
            <w:shd w:fill="F8F6F0" w:val="clear"/>
            <w:tcMar>
              <w:top w:type="dxa" w:w="90"/>
              <w:left w:type="dxa" w:w="150"/>
              <w:bottom w:type="dxa" w:w="90"/>
              <w:right w:type="dxa" w:w="150"/>
            </w:tcMar>
            <w:vAlign w:val="center"/>
          </w:tcPr>
          <w:p>
            <w:pPr>
              <w:jc w:val="left"/>
            </w:pPr>
            <w:r>
              <w:rPr>
                <w:rFonts w:ascii="Georgia" w:cs="Georgia" w:eastAsia="Georgia" w:hAnsi="Georgia"/>
                <w:b w:val="false"/>
                <w:bCs w:val="false"/>
                <w:color w:val="4A5568"/>
                <w:sz w:val="19"/>
                <w:szCs w:val="19"/>
              </w:rPr>
              <w:t xml:space="preserve">Patron sigil + gallery</w:t>
            </w:r>
          </w:p>
        </w:tc>
        <w:tc>
          <w:tcPr>
            <w:tcW w:type="dxa" w:w="1920"/>
            <w:tcBorders>
              <w:top w:val="single" w:color="CCCCCC" w:sz="1"/>
              <w:left w:val="single" w:color="CCCCCC" w:sz="1"/>
              <w:bottom w:val="single" w:color="CCCCCC" w:sz="1"/>
              <w:right w:val="single" w:color="CCCCCC" w:sz="1"/>
            </w:tcBorders>
            <w:shd w:fill="F8F6F0" w:val="clear"/>
            <w:tcMar>
              <w:top w:type="dxa" w:w="90"/>
              <w:left w:type="dxa" w:w="150"/>
              <w:bottom w:type="dxa" w:w="90"/>
              <w:right w:type="dxa" w:w="150"/>
            </w:tcMar>
            <w:vAlign w:val="center"/>
          </w:tcPr>
          <w:p>
            <w:pPr>
              <w:jc w:val="left"/>
            </w:pPr>
            <w:r>
              <w:rPr>
                <w:rFonts w:ascii="Georgia" w:cs="Georgia" w:eastAsia="Georgia" w:hAnsi="Georgia"/>
                <w:b w:val="false"/>
                <w:bCs w:val="false"/>
                <w:color w:val="4A5568"/>
                <w:sz w:val="19"/>
                <w:szCs w:val="19"/>
              </w:rPr>
              <w:t xml:space="preserve">Herald sigil + Founding Ledger</w:t>
            </w:r>
          </w:p>
        </w:tc>
      </w:tr>
      <w:tr>
        <w:tc>
          <w:tcPr>
            <w:tcW w:type="dxa" w:w="36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vAlign w:val="center"/>
          </w:tcPr>
          <w:p>
            <w:pPr>
              <w:jc w:val="left"/>
            </w:pPr>
            <w:r>
              <w:rPr>
                <w:rFonts w:ascii="Georgia" w:cs="Georgia" w:eastAsia="Georgia" w:hAnsi="Georgia"/>
                <w:b w:val="false"/>
                <w:bCs w:val="false"/>
                <w:color w:val="4A5568"/>
                <w:sz w:val="19"/>
                <w:szCs w:val="19"/>
              </w:rPr>
              <w:t xml:space="preserve">Chronicle export</w:t>
            </w:r>
          </w:p>
        </w:tc>
        <w:tc>
          <w:tcPr>
            <w:tcW w:type="dxa" w:w="192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vAlign w:val="center"/>
          </w:tcPr>
          <w:p>
            <w:pPr>
              <w:jc w:val="left"/>
            </w:pPr>
            <w:r>
              <w:rPr>
                <w:rFonts w:ascii="Georgia" w:cs="Georgia" w:eastAsia="Georgia" w:hAnsi="Georgia"/>
                <w:b w:val="false"/>
                <w:bCs w:val="false"/>
                <w:color w:val="4A5568"/>
                <w:sz w:val="19"/>
                <w:szCs w:val="19"/>
              </w:rPr>
              <w:t xml:space="preserve">—</w:t>
            </w:r>
          </w:p>
        </w:tc>
        <w:tc>
          <w:tcPr>
            <w:tcW w:type="dxa" w:w="192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vAlign w:val="center"/>
          </w:tcPr>
          <w:p>
            <w:pPr>
              <w:jc w:val="left"/>
            </w:pPr>
            <w:r>
              <w:rPr>
                <w:rFonts w:ascii="Georgia" w:cs="Georgia" w:eastAsia="Georgia" w:hAnsi="Georgia"/>
                <w:b w:val="false"/>
                <w:bCs w:val="false"/>
                <w:color w:val="4A5568"/>
                <w:sz w:val="19"/>
                <w:szCs w:val="19"/>
              </w:rPr>
              <w:t xml:space="preserve">Monthly PDF</w:t>
            </w:r>
          </w:p>
        </w:tc>
        <w:tc>
          <w:tcPr>
            <w:tcW w:type="dxa" w:w="192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vAlign w:val="center"/>
          </w:tcPr>
          <w:p>
            <w:pPr>
              <w:jc w:val="left"/>
            </w:pPr>
            <w:r>
              <w:rPr>
                <w:rFonts w:ascii="Georgia" w:cs="Georgia" w:eastAsia="Georgia" w:hAnsi="Georgia"/>
                <w:b w:val="false"/>
                <w:bCs w:val="false"/>
                <w:color w:val="4A5568"/>
                <w:sz w:val="19"/>
                <w:szCs w:val="19"/>
              </w:rPr>
              <w:t xml:space="preserve">Monthly PDF</w:t>
            </w:r>
          </w:p>
        </w:tc>
      </w:tr>
      <w:tr>
        <w:tc>
          <w:tcPr>
            <w:tcW w:type="dxa" w:w="3600"/>
            <w:tcBorders>
              <w:top w:val="single" w:color="CCCCCC" w:sz="1"/>
              <w:left w:val="single" w:color="CCCCCC" w:sz="1"/>
              <w:bottom w:val="single" w:color="CCCCCC" w:sz="1"/>
              <w:right w:val="single" w:color="CCCCCC" w:sz="1"/>
            </w:tcBorders>
            <w:shd w:fill="F8F6F0" w:val="clear"/>
            <w:tcMar>
              <w:top w:type="dxa" w:w="90"/>
              <w:left w:type="dxa" w:w="150"/>
              <w:bottom w:type="dxa" w:w="90"/>
              <w:right w:type="dxa" w:w="150"/>
            </w:tcMar>
            <w:vAlign w:val="center"/>
          </w:tcPr>
          <w:p>
            <w:pPr>
              <w:jc w:val="left"/>
            </w:pPr>
            <w:r>
              <w:rPr>
                <w:rFonts w:ascii="Georgia" w:cs="Georgia" w:eastAsia="Georgia" w:hAnsi="Georgia"/>
                <w:b w:val="false"/>
                <w:bCs w:val="false"/>
                <w:color w:val="4A5568"/>
                <w:sz w:val="19"/>
                <w:szCs w:val="19"/>
              </w:rPr>
              <w:t xml:space="preserve">Mortality grace archive</w:t>
            </w:r>
          </w:p>
        </w:tc>
        <w:tc>
          <w:tcPr>
            <w:tcW w:type="dxa" w:w="1920"/>
            <w:tcBorders>
              <w:top w:val="single" w:color="CCCCCC" w:sz="1"/>
              <w:left w:val="single" w:color="CCCCCC" w:sz="1"/>
              <w:bottom w:val="single" w:color="CCCCCC" w:sz="1"/>
              <w:right w:val="single" w:color="CCCCCC" w:sz="1"/>
            </w:tcBorders>
            <w:shd w:fill="F8F6F0" w:val="clear"/>
            <w:tcMar>
              <w:top w:type="dxa" w:w="90"/>
              <w:left w:type="dxa" w:w="150"/>
              <w:bottom w:type="dxa" w:w="90"/>
              <w:right w:type="dxa" w:w="150"/>
            </w:tcMar>
            <w:vAlign w:val="center"/>
          </w:tcPr>
          <w:p>
            <w:pPr>
              <w:jc w:val="left"/>
            </w:pPr>
            <w:r>
              <w:rPr>
                <w:rFonts w:ascii="Georgia" w:cs="Georgia" w:eastAsia="Georgia" w:hAnsi="Georgia"/>
                <w:b w:val="false"/>
                <w:bCs w:val="false"/>
                <w:color w:val="4A5568"/>
                <w:sz w:val="19"/>
                <w:szCs w:val="19"/>
              </w:rPr>
              <w:t xml:space="preserve">—</w:t>
            </w:r>
          </w:p>
        </w:tc>
        <w:tc>
          <w:tcPr>
            <w:tcW w:type="dxa" w:w="1920"/>
            <w:tcBorders>
              <w:top w:val="single" w:color="CCCCCC" w:sz="1"/>
              <w:left w:val="single" w:color="CCCCCC" w:sz="1"/>
              <w:bottom w:val="single" w:color="CCCCCC" w:sz="1"/>
              <w:right w:val="single" w:color="CCCCCC" w:sz="1"/>
            </w:tcBorders>
            <w:shd w:fill="F8F6F0" w:val="clear"/>
            <w:tcMar>
              <w:top w:type="dxa" w:w="90"/>
              <w:left w:type="dxa" w:w="150"/>
              <w:bottom w:type="dxa" w:w="90"/>
              <w:right w:type="dxa" w:w="150"/>
            </w:tcMar>
            <w:vAlign w:val="center"/>
          </w:tcPr>
          <w:p>
            <w:pPr>
              <w:jc w:val="left"/>
            </w:pPr>
            <w:r>
              <w:rPr>
                <w:rFonts w:ascii="Georgia" w:cs="Georgia" w:eastAsia="Georgia" w:hAnsi="Georgia"/>
                <w:b w:val="false"/>
                <w:bCs w:val="false"/>
                <w:color w:val="4A5568"/>
                <w:sz w:val="19"/>
                <w:szCs w:val="19"/>
              </w:rPr>
              <w:t xml:space="preserve">—</w:t>
            </w:r>
          </w:p>
        </w:tc>
        <w:tc>
          <w:tcPr>
            <w:tcW w:type="dxa" w:w="1920"/>
            <w:tcBorders>
              <w:top w:val="single" w:color="CCCCCC" w:sz="1"/>
              <w:left w:val="single" w:color="CCCCCC" w:sz="1"/>
              <w:bottom w:val="single" w:color="CCCCCC" w:sz="1"/>
              <w:right w:val="single" w:color="CCCCCC" w:sz="1"/>
            </w:tcBorders>
            <w:shd w:fill="F8F6F0" w:val="clear"/>
            <w:tcMar>
              <w:top w:type="dxa" w:w="90"/>
              <w:left w:type="dxa" w:w="150"/>
              <w:bottom w:type="dxa" w:w="90"/>
              <w:right w:type="dxa" w:w="150"/>
            </w:tcMar>
            <w:vAlign w:val="center"/>
          </w:tcPr>
          <w:p>
            <w:pPr>
              <w:jc w:val="left"/>
            </w:pPr>
            <w:r>
              <w:rPr>
                <w:rFonts w:ascii="Georgia" w:cs="Georgia" w:eastAsia="Georgia" w:hAnsi="Georgia"/>
                <w:b w:val="false"/>
                <w:bCs w:val="false"/>
                <w:color w:val="4A5568"/>
                <w:sz w:val="19"/>
                <w:szCs w:val="19"/>
              </w:rPr>
              <w:t xml:space="preserve">90-day grace on dissolution</w:t>
            </w:r>
          </w:p>
        </w:tc>
      </w:tr>
      <w:tr>
        <w:tc>
          <w:tcPr>
            <w:tcW w:type="dxa" w:w="36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vAlign w:val="center"/>
          </w:tcPr>
          <w:p>
            <w:pPr>
              <w:jc w:val="left"/>
            </w:pPr>
            <w:r>
              <w:rPr>
                <w:rFonts w:ascii="Georgia" w:cs="Georgia" w:eastAsia="Georgia" w:hAnsi="Georgia"/>
                <w:b w:val="false"/>
                <w:bCs w:val="false"/>
                <w:color w:val="4A5568"/>
                <w:sz w:val="19"/>
                <w:szCs w:val="19"/>
              </w:rPr>
              <w:t xml:space="preserve">Phase beta access</w:t>
            </w:r>
          </w:p>
        </w:tc>
        <w:tc>
          <w:tcPr>
            <w:tcW w:type="dxa" w:w="192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vAlign w:val="center"/>
          </w:tcPr>
          <w:p>
            <w:pPr>
              <w:jc w:val="left"/>
            </w:pPr>
            <w:r>
              <w:rPr>
                <w:rFonts w:ascii="Georgia" w:cs="Georgia" w:eastAsia="Georgia" w:hAnsi="Georgia"/>
                <w:b w:val="false"/>
                <w:bCs w:val="false"/>
                <w:color w:val="4A5568"/>
                <w:sz w:val="19"/>
                <w:szCs w:val="19"/>
              </w:rPr>
              <w:t xml:space="preserve">—</w:t>
            </w:r>
          </w:p>
        </w:tc>
        <w:tc>
          <w:tcPr>
            <w:tcW w:type="dxa" w:w="192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vAlign w:val="center"/>
          </w:tcPr>
          <w:p>
            <w:pPr>
              <w:jc w:val="left"/>
            </w:pPr>
            <w:r>
              <w:rPr>
                <w:rFonts w:ascii="Georgia" w:cs="Georgia" w:eastAsia="Georgia" w:hAnsi="Georgia"/>
                <w:b w:val="false"/>
                <w:bCs w:val="false"/>
                <w:color w:val="4A5568"/>
                <w:sz w:val="19"/>
                <w:szCs w:val="19"/>
              </w:rPr>
              <w:t xml:space="preserve">—</w:t>
            </w:r>
          </w:p>
        </w:tc>
        <w:tc>
          <w:tcPr>
            <w:tcW w:type="dxa" w:w="192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vAlign w:val="center"/>
          </w:tcPr>
          <w:p>
            <w:pPr>
              <w:jc w:val="left"/>
            </w:pPr>
            <w:r>
              <w:rPr>
                <w:rFonts w:ascii="Georgia" w:cs="Georgia" w:eastAsia="Georgia" w:hAnsi="Georgia"/>
                <w:b w:val="false"/>
                <w:bCs w:val="false"/>
                <w:color w:val="4A5568"/>
                <w:sz w:val="19"/>
                <w:szCs w:val="19"/>
              </w:rPr>
              <w:t xml:space="preserve">2 weeks early</w:t>
            </w:r>
          </w:p>
        </w:tc>
      </w:tr>
      <w:tr>
        <w:tc>
          <w:tcPr>
            <w:tcW w:type="dxa" w:w="3600"/>
            <w:tcBorders>
              <w:top w:val="single" w:color="CCCCCC" w:sz="1"/>
              <w:left w:val="single" w:color="CCCCCC" w:sz="1"/>
              <w:bottom w:val="single" w:color="CCCCCC" w:sz="1"/>
              <w:right w:val="single" w:color="CCCCCC" w:sz="1"/>
            </w:tcBorders>
            <w:shd w:fill="F8F6F0" w:val="clear"/>
            <w:tcMar>
              <w:top w:type="dxa" w:w="90"/>
              <w:left w:type="dxa" w:w="150"/>
              <w:bottom w:type="dxa" w:w="90"/>
              <w:right w:type="dxa" w:w="150"/>
            </w:tcMar>
            <w:vAlign w:val="center"/>
          </w:tcPr>
          <w:p>
            <w:pPr>
              <w:jc w:val="left"/>
            </w:pPr>
            <w:r>
              <w:rPr>
                <w:rFonts w:ascii="Georgia" w:cs="Georgia" w:eastAsia="Georgia" w:hAnsi="Georgia"/>
                <w:b w:val="false"/>
                <w:bCs w:val="false"/>
                <w:color w:val="4A5568"/>
                <w:sz w:val="19"/>
                <w:szCs w:val="19"/>
              </w:rPr>
              <w:t xml:space="preserve">House Games</w:t>
            </w:r>
          </w:p>
        </w:tc>
        <w:tc>
          <w:tcPr>
            <w:tcW w:type="dxa" w:w="1920"/>
            <w:tcBorders>
              <w:top w:val="single" w:color="CCCCCC" w:sz="1"/>
              <w:left w:val="single" w:color="CCCCCC" w:sz="1"/>
              <w:bottom w:val="single" w:color="CCCCCC" w:sz="1"/>
              <w:right w:val="single" w:color="CCCCCC" w:sz="1"/>
            </w:tcBorders>
            <w:shd w:fill="F8F6F0" w:val="clear"/>
            <w:tcMar>
              <w:top w:type="dxa" w:w="90"/>
              <w:left w:type="dxa" w:w="150"/>
              <w:bottom w:type="dxa" w:w="90"/>
              <w:right w:type="dxa" w:w="150"/>
            </w:tcMar>
            <w:vAlign w:val="center"/>
          </w:tcPr>
          <w:p>
            <w:pPr>
              <w:jc w:val="left"/>
            </w:pPr>
            <w:r>
              <w:rPr>
                <w:rFonts w:ascii="Georgia" w:cs="Georgia" w:eastAsia="Georgia" w:hAnsi="Georgia"/>
                <w:b w:val="false"/>
                <w:bCs w:val="false"/>
                <w:color w:val="4A5568"/>
                <w:sz w:val="19"/>
                <w:szCs w:val="19"/>
              </w:rPr>
              <w:t xml:space="preserve">Standard tables</w:t>
            </w:r>
          </w:p>
        </w:tc>
        <w:tc>
          <w:tcPr>
            <w:tcW w:type="dxa" w:w="1920"/>
            <w:tcBorders>
              <w:top w:val="single" w:color="CCCCCC" w:sz="1"/>
              <w:left w:val="single" w:color="CCCCCC" w:sz="1"/>
              <w:bottom w:val="single" w:color="CCCCCC" w:sz="1"/>
              <w:right w:val="single" w:color="CCCCCC" w:sz="1"/>
            </w:tcBorders>
            <w:shd w:fill="F8F6F0" w:val="clear"/>
            <w:tcMar>
              <w:top w:type="dxa" w:w="90"/>
              <w:left w:type="dxa" w:w="150"/>
              <w:bottom w:type="dxa" w:w="90"/>
              <w:right w:type="dxa" w:w="150"/>
            </w:tcMar>
            <w:vAlign w:val="center"/>
          </w:tcPr>
          <w:p>
            <w:pPr>
              <w:jc w:val="left"/>
            </w:pPr>
            <w:r>
              <w:rPr>
                <w:rFonts w:ascii="Georgia" w:cs="Georgia" w:eastAsia="Georgia" w:hAnsi="Georgia"/>
                <w:b w:val="false"/>
                <w:bCs w:val="false"/>
                <w:color w:val="4A5568"/>
                <w:sz w:val="19"/>
                <w:szCs w:val="19"/>
              </w:rPr>
              <w:t xml:space="preserve">+ High-stakes Patron tables</w:t>
            </w:r>
          </w:p>
        </w:tc>
        <w:tc>
          <w:tcPr>
            <w:tcW w:type="dxa" w:w="1920"/>
            <w:tcBorders>
              <w:top w:val="single" w:color="CCCCCC" w:sz="1"/>
              <w:left w:val="single" w:color="CCCCCC" w:sz="1"/>
              <w:bottom w:val="single" w:color="CCCCCC" w:sz="1"/>
              <w:right w:val="single" w:color="CCCCCC" w:sz="1"/>
            </w:tcBorders>
            <w:shd w:fill="F8F6F0" w:val="clear"/>
            <w:tcMar>
              <w:top w:type="dxa" w:w="90"/>
              <w:left w:type="dxa" w:w="150"/>
              <w:bottom w:type="dxa" w:w="90"/>
              <w:right w:type="dxa" w:w="150"/>
            </w:tcMar>
            <w:vAlign w:val="center"/>
          </w:tcPr>
          <w:p>
            <w:pPr>
              <w:jc w:val="left"/>
            </w:pPr>
            <w:r>
              <w:rPr>
                <w:rFonts w:ascii="Georgia" w:cs="Georgia" w:eastAsia="Georgia" w:hAnsi="Georgia"/>
                <w:b w:val="false"/>
                <w:bCs w:val="false"/>
                <w:color w:val="4A5568"/>
                <w:sz w:val="19"/>
                <w:szCs w:val="19"/>
              </w:rPr>
              <w:t xml:space="preserve">+ Herald private rooms</w:t>
            </w:r>
          </w:p>
        </w:tc>
      </w:tr>
      <w:tr>
        <w:tc>
          <w:tcPr>
            <w:tcW w:type="dxa" w:w="36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vAlign w:val="center"/>
          </w:tcPr>
          <w:p>
            <w:pPr>
              <w:jc w:val="left"/>
            </w:pPr>
            <w:r>
              <w:rPr>
                <w:rFonts w:ascii="Georgia" w:cs="Georgia" w:eastAsia="Georgia" w:hAnsi="Georgia"/>
                <w:b w:val="false"/>
                <w:bCs w:val="false"/>
                <w:color w:val="4A5568"/>
                <w:sz w:val="19"/>
                <w:szCs w:val="19"/>
              </w:rPr>
              <w:t xml:space="preserve">Support response</w:t>
            </w:r>
          </w:p>
        </w:tc>
        <w:tc>
          <w:tcPr>
            <w:tcW w:type="dxa" w:w="192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vAlign w:val="center"/>
          </w:tcPr>
          <w:p>
            <w:pPr>
              <w:jc w:val="left"/>
            </w:pPr>
            <w:r>
              <w:rPr>
                <w:rFonts w:ascii="Georgia" w:cs="Georgia" w:eastAsia="Georgia" w:hAnsi="Georgia"/>
                <w:b w:val="false"/>
                <w:bCs w:val="false"/>
                <w:color w:val="4A5568"/>
                <w:sz w:val="19"/>
                <w:szCs w:val="19"/>
              </w:rPr>
              <w:t xml:space="preserve">48 hours</w:t>
            </w:r>
          </w:p>
        </w:tc>
        <w:tc>
          <w:tcPr>
            <w:tcW w:type="dxa" w:w="192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vAlign w:val="center"/>
          </w:tcPr>
          <w:p>
            <w:pPr>
              <w:jc w:val="left"/>
            </w:pPr>
            <w:r>
              <w:rPr>
                <w:rFonts w:ascii="Georgia" w:cs="Georgia" w:eastAsia="Georgia" w:hAnsi="Georgia"/>
                <w:b w:val="false"/>
                <w:bCs w:val="false"/>
                <w:color w:val="4A5568"/>
                <w:sz w:val="19"/>
                <w:szCs w:val="19"/>
              </w:rPr>
              <w:t xml:space="preserve">24 hours</w:t>
            </w:r>
          </w:p>
        </w:tc>
        <w:tc>
          <w:tcPr>
            <w:tcW w:type="dxa" w:w="192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vAlign w:val="center"/>
          </w:tcPr>
          <w:p>
            <w:pPr>
              <w:jc w:val="left"/>
            </w:pPr>
            <w:r>
              <w:rPr>
                <w:rFonts w:ascii="Georgia" w:cs="Georgia" w:eastAsia="Georgia" w:hAnsi="Georgia"/>
                <w:b w:val="false"/>
                <w:bCs w:val="false"/>
                <w:color w:val="4A5568"/>
                <w:sz w:val="19"/>
                <w:szCs w:val="19"/>
              </w:rPr>
              <w:t xml:space="preserve">8 hours</w:t>
            </w:r>
          </w:p>
        </w:tc>
      </w:tr>
    </w:tbl>
    <w:p>
      <w:pPr>
        <w:spacing w:before="80" w:after="80"/>
      </w:pPr>
      <w:r>
        <w:t xml:space="preserve"/>
      </w:r>
    </w:p>
    <w:p>
      <w:pPr>
        <w:pStyle w:val="Heading2"/>
        <w:spacing w:before="360" w:after="140"/>
      </w:pPr>
      <w:r>
        <w:rPr>
          <w:rFonts w:ascii="Arial" w:cs="Arial" w:eastAsia="Arial" w:hAnsi="Arial"/>
          <w:b/>
          <w:bCs/>
          <w:color w:val="2E4057"/>
          <w:sz w:val="28"/>
          <w:szCs w:val="28"/>
        </w:rPr>
        <w:t xml:space="preserve">Revenue Projection</w:t>
      </w:r>
    </w:p>
    <w:p>
      <w:pPr>
        <w:spacing w:before="60" w:after="120"/>
      </w:pPr>
      <w:r>
        <w:rPr>
          <w:rFonts w:ascii="Georgia" w:cs="Georgia" w:eastAsia="Georgia" w:hAnsi="Georgia"/>
          <w:color w:val="4A5568"/>
          <w:sz w:val="22"/>
          <w:szCs w:val="22"/>
        </w:rPr>
        <w:t xml:space="preserve">At 100,000 subscribers with Compromise Effect (15% Accord / 58% Patron / 27% Herald): $15×15K + $25×58K + $35×27K = $2.62M/month. Patron tier at 58% of subscribers generates 55% of total subscription revenue. This is the designed outcome. Annual plan discount of 17% (two months free) at checkout. Annual subscribers receive full KALON stipend month one as lump sum.</w:t>
      </w:r>
    </w:p>
    <w:p>
      <w:r>
        <w:br w:type="page"/>
      </w:r>
    </w:p>
    <w:p>
      <w:pPr>
        <w:shd w:fill="0D1B2A" w:val="clear"/>
        <w:spacing w:before="2200" w:after="0"/>
        <w:jc w:val="center"/>
      </w:pPr>
      <w:r>
        <w:rPr>
          <w:rFonts w:ascii="Arial" w:cs="Arial" w:eastAsia="Arial" w:hAnsi="Arial"/>
          <w:b/>
          <w:bCs/>
          <w:color w:val="C9A84C"/>
          <w:sz w:val="20"/>
          <w:szCs w:val="20"/>
        </w:rPr>
        <w:t xml:space="preserve">  SECTION VI  </w:t>
      </w:r>
    </w:p>
    <w:p>
      <w:pPr>
        <w:spacing w:before="0" w:after="0"/>
        <w:jc w:val="center"/>
      </w:pPr>
      <w:r>
        <w:rPr>
          <w:rFonts w:ascii="Arial" w:cs="Arial" w:eastAsia="Arial" w:hAnsi="Arial"/>
          <w:b/>
          <w:bCs/>
          <w:color w:val="0D1B2A"/>
          <w:sz w:val="42"/>
          <w:szCs w:val="42"/>
        </w:rPr>
        <w:t xml:space="preserve">THE PERMANENCE COVENANT — NINE ARTICLES</w:t>
      </w:r>
    </w:p>
    <w:p>
      <w:pPr>
        <w:spacing w:before="120" w:after="400"/>
        <w:jc w:val="center"/>
      </w:pPr>
      <w:r>
        <w:rPr>
          <w:rFonts w:ascii="Arial" w:cs="Arial" w:eastAsia="Arial" w:hAnsi="Arial"/>
          <w:color w:val="C9A84C"/>
          <w:sz w:val="18"/>
          <w:szCs w:val="18"/>
        </w:rPr>
        <w:t xml:space="preserve">━━━━━━━━━━━━━━━━━━━━━━━━━━━━━━━━━</w:t>
      </w:r>
    </w:p>
    <w:p>
      <w:pPr>
        <w:pStyle w:val="Heading1"/>
        <w:pageBreakBefore/>
        <w:pBdr>
          <w:bottom w:val="single" w:color="C9A84C" w:sz="12"/>
        </w:pBdr>
        <w:spacing w:before="0" w:after="200"/>
      </w:pPr>
      <w:r>
        <w:rPr>
          <w:rFonts w:ascii="Arial" w:cs="Arial" w:eastAsia="Arial" w:hAnsi="Arial"/>
          <w:b/>
          <w:bCs/>
          <w:color w:val="0D1B2A"/>
          <w:sz w:val="36"/>
          <w:szCs w:val="36"/>
        </w:rPr>
        <w:t xml:space="preserve">UPDATED — MARCH 2026</w:t>
      </w:r>
    </w:p>
    <w:p>
      <w:pPr>
        <w:pBdr>
          <w:left w:val="thick" w:color="C9A84C" w:sz="20"/>
        </w:pBdr>
        <w:spacing w:before="200" w:after="200"/>
        <w:ind w:left="720" w:right="480"/>
      </w:pPr>
      <w:r>
        <w:rPr>
          <w:rFonts w:ascii="Georgia" w:cs="Georgia" w:eastAsia="Georgia" w:hAnsi="Georgia"/>
          <w:i/>
          <w:iCs/>
          <w:color w:val="333333"/>
          <w:sz w:val="22"/>
          <w:szCs w:val="22"/>
        </w:rPr>
        <w:t xml:space="preserve">The Remembrance does not forget. It does not forgive. It does not reward the living at the expense of the dead. It records what happened, who decided, and what followed. Nothing is more powerful than a dynasty's permanent record. Nothing is more final than its absence.</w:t>
      </w:r>
    </w:p>
    <w:p>
      <w:pPr>
        <w:spacing w:before="60" w:after="60"/>
      </w:pPr>
      <w:r>
        <w:t xml:space="preserve"/>
      </w:r>
    </w:p>
    <w:p>
      <w:pPr>
        <w:shd w:fill="0D1B2A" w:val="clear"/>
        <w:spacing w:before="200" w:after="0"/>
        <w:ind w:left="300" w:right="300"/>
      </w:pPr>
      <w:r>
        <w:rPr>
          <w:rFonts w:ascii="Arial" w:cs="Arial" w:eastAsia="Arial" w:hAnsi="Arial"/>
          <w:b/>
          <w:bCs/>
          <w:color w:val="FFFFFF"/>
          <w:sz w:val="20"/>
          <w:szCs w:val="20"/>
        </w:rPr>
        <w:t xml:space="preserve">  ARTICLE I — PERMANENCE OF ACTION  </w:t>
      </w:r>
    </w:p>
    <w:p>
      <w:pPr>
        <w:pBdr>
          <w:bottom w:val="single" w:color="0D1B2A" w:sz="8"/>
          <w:left w:val="single" w:color="0D1B2A" w:sz="8"/>
          <w:right w:val="single" w:color="0D1B2A" w:sz="8"/>
        </w:pBdr>
        <w:spacing w:before="0" w:after="220"/>
        <w:ind w:left="300" w:right="300"/>
      </w:pPr>
      <w:r>
        <w:rPr>
          <w:rFonts w:ascii="Georgia" w:cs="Georgia" w:eastAsia="Georgia" w:hAnsi="Georgia"/>
          <w:color w:val="4A5568"/>
          <w:sz w:val="21"/>
          <w:szCs w:val="21"/>
        </w:rPr>
        <w:t xml:space="preserve">Every decision by every dynasty is permanently recorded. No action can be undone, no record deleted, no history revised. The Remembrance is append-only. There is no save state. There is no rollback.</w:t>
      </w:r>
    </w:p>
    <w:p>
      <w:pPr>
        <w:spacing w:before="60" w:after="60"/>
      </w:pPr>
      <w:r>
        <w:t xml:space="preserve"/>
      </w:r>
    </w:p>
    <w:p>
      <w:pPr>
        <w:shd w:fill="2E4057" w:val="clear"/>
        <w:spacing w:before="200" w:after="0"/>
        <w:ind w:left="300" w:right="300"/>
      </w:pPr>
      <w:r>
        <w:rPr>
          <w:rFonts w:ascii="Arial" w:cs="Arial" w:eastAsia="Arial" w:hAnsi="Arial"/>
          <w:b/>
          <w:bCs/>
          <w:color w:val="FFFFFF"/>
          <w:sz w:val="20"/>
          <w:szCs w:val="20"/>
        </w:rPr>
        <w:t xml:space="preserve">  ARTICLE II — PERMANENCE OF CONSEQUENCE  </w:t>
      </w:r>
    </w:p>
    <w:p>
      <w:pPr>
        <w:pBdr>
          <w:bottom w:val="single" w:color="2E4057" w:sz="8"/>
          <w:left w:val="single" w:color="2E4057" w:sz="8"/>
          <w:right w:val="single" w:color="2E4057" w:sz="8"/>
        </w:pBdr>
        <w:spacing w:before="0" w:after="220"/>
        <w:ind w:left="300" w:right="300"/>
      </w:pPr>
      <w:r>
        <w:rPr>
          <w:rFonts w:ascii="Georgia" w:cs="Georgia" w:eastAsia="Georgia" w:hAnsi="Georgia"/>
          <w:color w:val="4A5568"/>
          <w:sz w:val="21"/>
          <w:szCs w:val="21"/>
        </w:rPr>
        <w:t xml:space="preserve">Consequences are permanent. A world destroyed remains destroyed. A dynasty that collapsed under debt is recorded as having collapsed. A betrayal is in the Remembrance. Future dynasties can read it.</w:t>
      </w:r>
    </w:p>
    <w:p>
      <w:pPr>
        <w:spacing w:before="60" w:after="60"/>
      </w:pPr>
      <w:r>
        <w:t xml:space="preserve"/>
      </w:r>
    </w:p>
    <w:p>
      <w:pPr>
        <w:shd w:fill="3A5A7A" w:val="clear"/>
        <w:spacing w:before="200" w:after="0"/>
        <w:ind w:left="300" w:right="300"/>
      </w:pPr>
      <w:r>
        <w:rPr>
          <w:rFonts w:ascii="Arial" w:cs="Arial" w:eastAsia="Arial" w:hAnsi="Arial"/>
          <w:b/>
          <w:bCs/>
          <w:color w:val="FFFFFF"/>
          <w:sz w:val="20"/>
          <w:szCs w:val="20"/>
        </w:rPr>
        <w:t xml:space="preserve">  ARTICLE III — DIGITAL MORTALITY  </w:t>
      </w:r>
    </w:p>
    <w:p>
      <w:pPr>
        <w:pBdr>
          <w:bottom w:val="single" w:color="3A5A7A" w:sz="8"/>
          <w:left w:val="single" w:color="3A5A7A" w:sz="8"/>
          <w:right w:val="single" w:color="3A5A7A" w:sz="8"/>
        </w:pBdr>
        <w:spacing w:before="0" w:after="220"/>
        <w:ind w:left="300" w:right="300"/>
      </w:pPr>
      <w:r>
        <w:rPr>
          <w:rFonts w:ascii="Georgia" w:cs="Georgia" w:eastAsia="Georgia" w:hAnsi="Georgia"/>
          <w:color w:val="4A5568"/>
          <w:sz w:val="21"/>
          <w:szCs w:val="21"/>
        </w:rPr>
        <w:t xml:space="preserve">Subscription lapse for 90 consecutive days triggers Digital Mortality Protocol. World sovereignty transitions to Contested. KALON begins gradual drift to Commons Fund over 180 days. Dynasty marked 'Dormant — Year [X]' — never deleted. Reversible if subscription renews before 180-day distribution completes.</w:t>
      </w:r>
    </w:p>
    <w:p>
      <w:pPr>
        <w:spacing w:before="60" w:after="60"/>
      </w:pPr>
      <w:r>
        <w:t xml:space="preserve"/>
      </w:r>
    </w:p>
    <w:p>
      <w:pPr>
        <w:shd w:fill="0E5C5C" w:val="clear"/>
        <w:spacing w:before="200" w:after="0"/>
        <w:ind w:left="300" w:right="300"/>
      </w:pPr>
      <w:r>
        <w:rPr>
          <w:rFonts w:ascii="Arial" w:cs="Arial" w:eastAsia="Arial" w:hAnsi="Arial"/>
          <w:b/>
          <w:bCs/>
          <w:color w:val="FFFFFF"/>
          <w:sz w:val="20"/>
          <w:szCs w:val="20"/>
        </w:rPr>
        <w:t xml:space="preserve">  ARTICLE IV — IN ABEYANCE  </w:t>
      </w:r>
    </w:p>
    <w:p>
      <w:pPr>
        <w:pBdr>
          <w:bottom w:val="single" w:color="0E5C5C" w:sz="8"/>
          <w:left w:val="single" w:color="0E5C5C" w:sz="8"/>
          <w:right w:val="single" w:color="0E5C5C" w:sz="8"/>
        </w:pBdr>
        <w:spacing w:before="0" w:after="220"/>
        <w:ind w:left="300" w:right="300"/>
      </w:pPr>
      <w:r>
        <w:rPr>
          <w:rFonts w:ascii="Georgia" w:cs="Georgia" w:eastAsia="Georgia" w:hAnsi="Georgia"/>
          <w:color w:val="4A5568"/>
          <w:sz w:val="21"/>
          <w:szCs w:val="21"/>
        </w:rPr>
        <w:t xml:space="preserve">A dynasty whose account holder has died may be placed In Abeyance — heraldic status meaning the claim is valid, the lineage intact, awaiting its rightful heir. Remembrance records 'House [Name] — In Abeyance — Season [X].' Not dead. Suspended. Standard drainage applies at reduced rate. Two-year window for heir activation before Dispersal.</w:t>
      </w:r>
    </w:p>
    <w:p>
      <w:pPr>
        <w:spacing w:before="60" w:after="60"/>
      </w:pPr>
      <w:r>
        <w:t xml:space="preserve"/>
      </w:r>
    </w:p>
    <w:p>
      <w:pPr>
        <w:shd w:fill="0D1B2A" w:val="clear"/>
        <w:spacing w:before="200" w:after="0"/>
        <w:ind w:left="300" w:right="300"/>
      </w:pPr>
      <w:r>
        <w:rPr>
          <w:rFonts w:ascii="Arial" w:cs="Arial" w:eastAsia="Arial" w:hAnsi="Arial"/>
          <w:b/>
          <w:bCs/>
          <w:color w:val="FFFFFF"/>
          <w:sz w:val="20"/>
          <w:szCs w:val="20"/>
        </w:rPr>
        <w:t xml:space="preserve">  ARTICLE V — MARKS ARE PERMANENT  </w:t>
      </w:r>
    </w:p>
    <w:p>
      <w:pPr>
        <w:pBdr>
          <w:bottom w:val="single" w:color="0D1B2A" w:sz="8"/>
          <w:left w:val="single" w:color="0D1B2A" w:sz="8"/>
          <w:right w:val="single" w:color="0D1B2A" w:sz="8"/>
        </w:pBdr>
        <w:spacing w:before="0" w:after="220"/>
        <w:ind w:left="300" w:right="300"/>
      </w:pPr>
      <w:r>
        <w:rPr>
          <w:rFonts w:ascii="Georgia" w:cs="Georgia" w:eastAsia="Georgia" w:hAnsi="Georgia"/>
          <w:color w:val="4A5568"/>
          <w:sz w:val="21"/>
          <w:szCs w:val="21"/>
        </w:rPr>
        <w:t xml:space="preserve">The six Marks are permanent once awarded. They cannot be sold, transferred, or revoked except by Assembly constitutional vote. A dynasty that dissolves retains its Marks in the Remembrance record forever. The most powerful thing in The Concord is whose Marks are still being read by players who were not there when they were earned.</w:t>
      </w:r>
    </w:p>
    <w:p>
      <w:pPr>
        <w:spacing w:before="60" w:after="60"/>
      </w:pPr>
      <w:r>
        <w:t xml:space="preserve"/>
      </w:r>
    </w:p>
    <w:p>
      <w:pPr>
        <w:shd w:fill="2E4057" w:val="clear"/>
        <w:spacing w:before="200" w:after="0"/>
        <w:ind w:left="300" w:right="300"/>
      </w:pPr>
      <w:r>
        <w:rPr>
          <w:rFonts w:ascii="Arial" w:cs="Arial" w:eastAsia="Arial" w:hAnsi="Arial"/>
          <w:b/>
          <w:bCs/>
          <w:color w:val="FFFFFF"/>
          <w:sz w:val="20"/>
          <w:szCs w:val="20"/>
        </w:rPr>
        <w:t xml:space="preserve">  ARTICLE VI — THE REMEMBRANCE IS THE GAME  </w:t>
      </w:r>
    </w:p>
    <w:p>
      <w:pPr>
        <w:pBdr>
          <w:bottom w:val="single" w:color="2E4057" w:sz="8"/>
          <w:left w:val="single" w:color="2E4057" w:sz="8"/>
          <w:right w:val="single" w:color="2E4057" w:sz="8"/>
        </w:pBdr>
        <w:spacing w:before="0" w:after="220"/>
        <w:ind w:left="300" w:right="300"/>
      </w:pPr>
      <w:r>
        <w:rPr>
          <w:rFonts w:ascii="Georgia" w:cs="Georgia" w:eastAsia="Georgia" w:hAnsi="Georgia"/>
          <w:color w:val="4A5568"/>
          <w:sz w:val="21"/>
          <w:szCs w:val="21"/>
        </w:rPr>
        <w:t xml:space="preserve">The Remembrance is not a scoreboard. It is a historical archive of a civilisation. The game's ultimate victory condition: to matter to the Remembrance. To be read by players who were not there.</w:t>
      </w:r>
    </w:p>
    <w:p>
      <w:pPr>
        <w:spacing w:before="60" w:after="60"/>
      </w:pPr>
      <w:r>
        <w:t xml:space="preserve"/>
      </w:r>
    </w:p>
    <w:p>
      <w:pPr>
        <w:shd w:fill="3A5A7A" w:val="clear"/>
        <w:spacing w:before="200" w:after="0"/>
        <w:ind w:left="300" w:right="300"/>
      </w:pPr>
      <w:r>
        <w:rPr>
          <w:rFonts w:ascii="Arial" w:cs="Arial" w:eastAsia="Arial" w:hAnsi="Arial"/>
          <w:b/>
          <w:bCs/>
          <w:color w:val="FFFFFF"/>
          <w:sz w:val="20"/>
          <w:szCs w:val="20"/>
        </w:rPr>
        <w:t xml:space="preserve">  ARTICLE VII — THE ARCHITECT REMEMBERS  </w:t>
      </w:r>
    </w:p>
    <w:p>
      <w:pPr>
        <w:pBdr>
          <w:bottom w:val="single" w:color="3A5A7A" w:sz="8"/>
          <w:left w:val="single" w:color="3A5A7A" w:sz="8"/>
          <w:right w:val="single" w:color="3A5A7A" w:sz="8"/>
        </w:pBdr>
        <w:spacing w:before="0" w:after="220"/>
        <w:ind w:left="300" w:right="300"/>
      </w:pPr>
      <w:r>
        <w:rPr>
          <w:rFonts w:ascii="Georgia" w:cs="Georgia" w:eastAsia="Georgia" w:hAnsi="Georgia"/>
          <w:color w:val="4A5568"/>
          <w:sz w:val="21"/>
          <w:szCs w:val="21"/>
        </w:rPr>
        <w:t xml:space="preserve">The Architect has published quarterly reports since Year 1. Never late. Never revised. Players who read all of them understand something about The Concord that cannot be learned any other way.</w:t>
      </w:r>
    </w:p>
    <w:p>
      <w:pPr>
        <w:spacing w:before="60" w:after="60"/>
      </w:pPr>
      <w:r>
        <w:t xml:space="preserve"/>
      </w:r>
    </w:p>
    <w:p>
      <w:pPr>
        <w:shd w:fill="0E5C5C" w:val="clear"/>
        <w:spacing w:before="200" w:after="0"/>
        <w:ind w:left="300" w:right="300"/>
      </w:pPr>
      <w:r>
        <w:rPr>
          <w:rFonts w:ascii="Arial" w:cs="Arial" w:eastAsia="Arial" w:hAnsi="Arial"/>
          <w:b/>
          <w:bCs/>
          <w:color w:val="FFFFFF"/>
          <w:sz w:val="20"/>
          <w:szCs w:val="20"/>
        </w:rPr>
        <w:t xml:space="preserve">  ARTICLE VIII — GOVERNANCE DECISIONS ARE PERMANENT  </w:t>
      </w:r>
    </w:p>
    <w:p>
      <w:pPr>
        <w:pBdr>
          <w:bottom w:val="single" w:color="0E5C5C" w:sz="8"/>
          <w:left w:val="single" w:color="0E5C5C" w:sz="8"/>
          <w:right w:val="single" w:color="0E5C5C" w:sz="8"/>
        </w:pBdr>
        <w:spacing w:before="0" w:after="220"/>
        <w:ind w:left="300" w:right="300"/>
      </w:pPr>
      <w:r>
        <w:rPr>
          <w:rFonts w:ascii="Georgia" w:cs="Georgia" w:eastAsia="Georgia" w:hAnsi="Georgia"/>
          <w:color w:val="4A5568"/>
          <w:sz w:val="21"/>
          <w:szCs w:val="21"/>
        </w:rPr>
        <w:t xml:space="preserve">Assembly votes are permanent historical records. The dynasties that voted for and against are named. Future assemblies can supersede old votes — the old ones remain. The Concord does not pretend its past was different from what it was.</w:t>
      </w:r>
    </w:p>
    <w:p>
      <w:pPr>
        <w:spacing w:before="60" w:after="60"/>
      </w:pPr>
      <w:r>
        <w:t xml:space="preserve"/>
      </w:r>
    </w:p>
    <w:p>
      <w:pPr>
        <w:shd w:fill="8B1A1A" w:val="clear"/>
        <w:spacing w:before="200" w:after="0"/>
        <w:ind w:left="300" w:right="300"/>
      </w:pPr>
      <w:r>
        <w:rPr>
          <w:rFonts w:ascii="Arial" w:cs="Arial" w:eastAsia="Arial" w:hAnsi="Arial"/>
          <w:b/>
          <w:bCs/>
          <w:color w:val="FFFFFF"/>
          <w:sz w:val="20"/>
          <w:szCs w:val="20"/>
        </w:rPr>
        <w:t xml:space="preserve">  ARTICLE IX — NO CHEAT CODES. EVER.  </w:t>
      </w:r>
    </w:p>
    <w:p>
      <w:pPr>
        <w:pBdr>
          <w:bottom w:val="single" w:color="8B1A1A" w:sz="8"/>
          <w:left w:val="single" w:color="8B1A1A" w:sz="8"/>
          <w:right w:val="single" w:color="8B1A1A" w:sz="8"/>
        </w:pBdr>
        <w:spacing w:before="0" w:after="220"/>
        <w:ind w:left="300" w:right="300"/>
      </w:pPr>
      <w:r>
        <w:rPr>
          <w:rFonts w:ascii="Georgia" w:cs="Georgia" w:eastAsia="Georgia" w:hAnsi="Georgia"/>
          <w:color w:val="4A5568"/>
          <w:sz w:val="21"/>
          <w:szCs w:val="21"/>
        </w:rPr>
        <w:t xml:space="preserve">No backdoor. No console command. No administrator account with elevated privileges. No developer plays with advantages unavailable to subscribers. The only paths forward are skill, patience, strategy, and the mathematics of chance. The Permanence Covenant applies to the studio as much as to any dynasty.</w:t>
      </w:r>
    </w:p>
    <w:p>
      <w:pPr>
        <w:spacing w:before="80" w:after="80"/>
      </w:pPr>
      <w:r>
        <w:t xml:space="preserve"/>
      </w:r>
    </w:p>
    <w:p>
      <w:pPr>
        <w:pStyle w:val="Heading2"/>
        <w:spacing w:before="360" w:after="140"/>
      </w:pPr>
      <w:r>
        <w:rPr>
          <w:rFonts w:ascii="Arial" w:cs="Arial" w:eastAsia="Arial" w:hAnsi="Arial"/>
          <w:b/>
          <w:bCs/>
          <w:color w:val="2E4057"/>
          <w:sz w:val="28"/>
          <w:szCs w:val="28"/>
        </w:rPr>
        <w:t xml:space="preserve">The Studio Shutdown Commitment</w:t>
      </w:r>
    </w:p>
    <w:p>
      <w:pPr>
        <w:spacing w:before="60" w:after="120"/>
      </w:pPr>
      <w:r>
        <w:rPr>
          <w:rFonts w:ascii="Georgia" w:cs="Georgia" w:eastAsia="Georgia" w:hAnsi="Georgia"/>
          <w:color w:val="4A5568"/>
          <w:sz w:val="22"/>
          <w:szCs w:val="22"/>
        </w:rPr>
        <w:t xml:space="preserve">Published on the Concord website from Day 1: if The Concord ever fully shuts down, the complete Remembrance archive is published as a free downloadable dataset. Engine source code releases under open licence. Dynasty Marks migrate to a public blockchain contract as permanent historical artefacts. This is a trust commitment that costs nothing to make.</w:t>
      </w:r>
    </w:p>
    <w:p>
      <w:r>
        <w:br w:type="page"/>
      </w:r>
    </w:p>
    <w:p>
      <w:pPr>
        <w:shd w:fill="0D1B2A" w:val="clear"/>
        <w:spacing w:before="2200" w:after="0"/>
        <w:jc w:val="center"/>
      </w:pPr>
      <w:r>
        <w:rPr>
          <w:rFonts w:ascii="Arial" w:cs="Arial" w:eastAsia="Arial" w:hAnsi="Arial"/>
          <w:b/>
          <w:bCs/>
          <w:color w:val="C9A84C"/>
          <w:sz w:val="20"/>
          <w:szCs w:val="20"/>
        </w:rPr>
        <w:t xml:space="preserve">  SECTION VII  </w:t>
      </w:r>
    </w:p>
    <w:p>
      <w:pPr>
        <w:spacing w:before="0" w:after="0"/>
        <w:jc w:val="center"/>
      </w:pPr>
      <w:r>
        <w:rPr>
          <w:rFonts w:ascii="Arial" w:cs="Arial" w:eastAsia="Arial" w:hAnsi="Arial"/>
          <w:b/>
          <w:bCs/>
          <w:color w:val="0D1B2A"/>
          <w:sz w:val="42"/>
          <w:szCs w:val="42"/>
        </w:rPr>
        <w:t xml:space="preserve">HOUSE GAMES — VIRTUAL GAMING</w:t>
      </w:r>
    </w:p>
    <w:p>
      <w:pPr>
        <w:spacing w:before="120" w:after="400"/>
        <w:jc w:val="center"/>
      </w:pPr>
      <w:r>
        <w:rPr>
          <w:rFonts w:ascii="Arial" w:cs="Arial" w:eastAsia="Arial" w:hAnsi="Arial"/>
          <w:color w:val="C9A84C"/>
          <w:sz w:val="18"/>
          <w:szCs w:val="18"/>
        </w:rPr>
        <w:t xml:space="preserve">━━━━━━━━━━━━━━━━━━━━━━━━━━━━━━━━━</w:t>
      </w:r>
    </w:p>
    <w:p>
      <w:pPr>
        <w:pStyle w:val="Heading1"/>
        <w:pageBreakBefore/>
        <w:pBdr>
          <w:bottom w:val="single" w:color="C9A84C" w:sz="12"/>
        </w:pBdr>
        <w:spacing w:before="0" w:after="200"/>
      </w:pPr>
      <w:r>
        <w:rPr>
          <w:rFonts w:ascii="Arial" w:cs="Arial" w:eastAsia="Arial" w:hAnsi="Arial"/>
          <w:b/>
          <w:bCs/>
          <w:color w:val="0D1B2A"/>
          <w:sz w:val="36"/>
          <w:szCs w:val="36"/>
        </w:rPr>
        <w:t xml:space="preserve">IN-GAME ENTERTAINMENT ARCHITECTURE</w:t>
      </w:r>
    </w:p>
    <w:p>
      <w:pPr>
        <w:pBdr>
          <w:left w:val="thick" w:color="C9A84C" w:sz="20"/>
        </w:pBdr>
        <w:spacing w:before="200" w:after="200"/>
        <w:ind w:left="720" w:right="480"/>
      </w:pPr>
      <w:r>
        <w:rPr>
          <w:rFonts w:ascii="Georgia" w:cs="Georgia" w:eastAsia="Georgia" w:hAnsi="Georgia"/>
          <w:i/>
          <w:iCs/>
          <w:color w:val="333333"/>
          <w:sz w:val="22"/>
          <w:szCs w:val="22"/>
        </w:rPr>
        <w:t xml:space="preserve">Games of skill and chance are woven into every civilisation The Concord depicts. The Assembly has debated twice whether gambling is a dignified civilisational activity. The Architect abstained both times. Players find this significant.</w:t>
      </w:r>
    </w:p>
    <w:p>
      <w:pPr>
        <w:pStyle w:val="Heading2"/>
        <w:spacing w:before="360" w:after="140"/>
      </w:pPr>
      <w:r>
        <w:rPr>
          <w:rFonts w:ascii="Arial" w:cs="Arial" w:eastAsia="Arial" w:hAnsi="Arial"/>
          <w:b/>
          <w:bCs/>
          <w:color w:val="2E4057"/>
          <w:sz w:val="28"/>
          <w:szCs w:val="28"/>
        </w:rPr>
        <w:t xml:space="preserve">7.1  Legal Architecture</w:t>
      </w:r>
    </w:p>
    <w:p>
      <w:pPr>
        <w:spacing w:before="60" w:after="120"/>
      </w:pPr>
      <w:r>
        <w:rPr>
          <w:rFonts w:ascii="Georgia" w:cs="Georgia" w:eastAsia="Georgia" w:hAnsi="Georgia"/>
          <w:color w:val="4A5568"/>
          <w:sz w:val="22"/>
          <w:szCs w:val="22"/>
        </w:rPr>
        <w:t xml:space="preserve">House Games are legal in every major jurisdiction because KALON winnings have zero real-world cash value. No cash-out mechanism exists. KALON cannot be converted to real currency through any Concord-supported pathway. The Concord's approach is already at the standard the EU is moving toward — ahead of competitors who will need to retrofit compliance.</w:t>
      </w:r>
    </w:p>
    <w:p>
      <w:pPr>
        <w:spacing w:before="55" w:after="55"/>
        <w:ind w:left="400"/>
      </w:pPr>
      <w:r>
        <w:rPr>
          <w:rFonts w:ascii="Arial" w:cs="Arial" w:eastAsia="Arial" w:hAnsi="Arial"/>
          <w:color w:val="C9A84C"/>
          <w:sz w:val="22"/>
          <w:szCs w:val="22"/>
        </w:rPr>
        <w:t xml:space="preserve">▸  </w:t>
      </w:r>
      <w:r>
        <w:rPr>
          <w:rFonts w:ascii="Georgia" w:cs="Georgia" w:eastAsia="Georgia" w:hAnsi="Georgia"/>
          <w:color w:val="4A5568"/>
          <w:sz w:val="22"/>
          <w:szCs w:val="22"/>
        </w:rPr>
        <w:t xml:space="preserve">All probabilities publicly disclosed in-app and on the Concord Ledger</w:t>
      </w:r>
    </w:p>
    <w:p>
      <w:pPr>
        <w:spacing w:before="55" w:after="55"/>
        <w:ind w:left="400"/>
      </w:pPr>
      <w:r>
        <w:rPr>
          <w:rFonts w:ascii="Arial" w:cs="Arial" w:eastAsia="Arial" w:hAnsi="Arial"/>
          <w:color w:val="C9A84C"/>
          <w:sz w:val="22"/>
          <w:szCs w:val="22"/>
        </w:rPr>
        <w:t xml:space="preserve">▸  </w:t>
      </w:r>
      <w:r>
        <w:rPr>
          <w:rFonts w:ascii="Georgia" w:cs="Georgia" w:eastAsia="Georgia" w:hAnsi="Georgia"/>
          <w:color w:val="4A5568"/>
          <w:sz w:val="22"/>
          <w:szCs w:val="22"/>
        </w:rPr>
        <w:t xml:space="preserve">No real-money purchases unlock gambling access or outcomes</w:t>
      </w:r>
    </w:p>
    <w:p>
      <w:pPr>
        <w:spacing w:before="55" w:after="55"/>
        <w:ind w:left="400"/>
      </w:pPr>
      <w:r>
        <w:rPr>
          <w:rFonts w:ascii="Arial" w:cs="Arial" w:eastAsia="Arial" w:hAnsi="Arial"/>
          <w:color w:val="C9A84C"/>
          <w:sz w:val="22"/>
          <w:szCs w:val="22"/>
        </w:rPr>
        <w:t xml:space="preserve">▸  </w:t>
      </w:r>
      <w:r>
        <w:rPr>
          <w:rFonts w:ascii="Georgia" w:cs="Georgia" w:eastAsia="Georgia" w:hAnsi="Georgia"/>
          <w:color w:val="4A5568"/>
          <w:sz w:val="22"/>
          <w:szCs w:val="22"/>
        </w:rPr>
        <w:t xml:space="preserve">No subscription tier allows real-money wagering</w:t>
      </w:r>
    </w:p>
    <w:p>
      <w:pPr>
        <w:spacing w:before="55" w:after="55"/>
        <w:ind w:left="400"/>
      </w:pPr>
      <w:r>
        <w:rPr>
          <w:rFonts w:ascii="Arial" w:cs="Arial" w:eastAsia="Arial" w:hAnsi="Arial"/>
          <w:color w:val="C9A84C"/>
          <w:sz w:val="22"/>
          <w:szCs w:val="22"/>
        </w:rPr>
        <w:t xml:space="preserve">▸  </w:t>
      </w:r>
      <w:r>
        <w:rPr>
          <w:rFonts w:ascii="Georgia" w:cs="Georgia" w:eastAsia="Georgia" w:hAnsi="Georgia"/>
          <w:color w:val="4A5568"/>
          <w:sz w:val="22"/>
          <w:szCs w:val="22"/>
        </w:rPr>
        <w:t xml:space="preserve">Terms of service explicitly prohibit real-money KALON trading — violations mean account termination</w:t>
      </w:r>
    </w:p>
    <w:p>
      <w:pPr>
        <w:spacing w:before="55" w:after="55"/>
        <w:ind w:left="400"/>
      </w:pPr>
      <w:r>
        <w:rPr>
          <w:rFonts w:ascii="Arial" w:cs="Arial" w:eastAsia="Arial" w:hAnsi="Arial"/>
          <w:color w:val="C9A84C"/>
          <w:sz w:val="22"/>
          <w:szCs w:val="22"/>
        </w:rPr>
        <w:t xml:space="preserve">▸  </w:t>
      </w:r>
      <w:r>
        <w:rPr>
          <w:rFonts w:ascii="Georgia" w:cs="Georgia" w:eastAsia="Georgia" w:hAnsi="Georgia"/>
          <w:color w:val="4A5568"/>
          <w:sz w:val="22"/>
          <w:szCs w:val="22"/>
        </w:rPr>
        <w:t xml:space="preserve">Age verification technically enforced</w:t>
      </w:r>
    </w:p>
    <w:p>
      <w:pPr>
        <w:pStyle w:val="Heading2"/>
        <w:spacing w:before="360" w:after="140"/>
      </w:pPr>
      <w:r>
        <w:rPr>
          <w:rFonts w:ascii="Arial" w:cs="Arial" w:eastAsia="Arial" w:hAnsi="Arial"/>
          <w:b/>
          <w:bCs/>
          <w:color w:val="2E4057"/>
          <w:sz w:val="28"/>
          <w:szCs w:val="28"/>
        </w:rPr>
        <w:t xml:space="preserve">7.2  The Five House Games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760"/>
        <w:gridCol w:w="5600"/>
      </w:tblGrid>
      <w:tr>
        <w:tc>
          <w:tcPr>
            <w:tcW w:type="dxa" w:w="2000"/>
            <w:tcBorders>
              <w:top w:val="single" w:color="CCCCCC" w:sz="1"/>
              <w:left w:val="single" w:color="CCCCCC" w:sz="1"/>
              <w:bottom w:val="single" w:color="CCCCCC" w:sz="1"/>
              <w:right w:val="single" w:color="CCCCCC" w:sz="1"/>
            </w:tcBorders>
            <w:shd w:fill="0D1B2A" w:val="clear"/>
            <w:tcMar>
              <w:top w:type="dxa" w:w="90"/>
              <w:left w:type="dxa" w:w="150"/>
              <w:bottom w:type="dxa" w:w="90"/>
              <w:right w:type="dxa" w:w="150"/>
            </w:tcMar>
            <w:vAlign w:val="center"/>
          </w:tcPr>
          <w:p>
            <w:pPr>
              <w:jc w:val="left"/>
            </w:pPr>
            <w:r>
              <w:rPr>
                <w:rFonts w:ascii="Arial" w:cs="Arial" w:eastAsia="Arial" w:hAnsi="Arial"/>
                <w:b/>
                <w:bCs/>
                <w:color w:val="FFFFFF"/>
                <w:sz w:val="19"/>
                <w:szCs w:val="19"/>
              </w:rPr>
              <w:t xml:space="preserve">GAME</w:t>
            </w:r>
          </w:p>
        </w:tc>
        <w:tc>
          <w:tcPr>
            <w:tcW w:type="dxa" w:w="1760"/>
            <w:tcBorders>
              <w:top w:val="single" w:color="CCCCCC" w:sz="1"/>
              <w:left w:val="single" w:color="CCCCCC" w:sz="1"/>
              <w:bottom w:val="single" w:color="CCCCCC" w:sz="1"/>
              <w:right w:val="single" w:color="CCCCCC" w:sz="1"/>
            </w:tcBorders>
            <w:shd w:fill="0D1B2A" w:val="clear"/>
            <w:tcMar>
              <w:top w:type="dxa" w:w="90"/>
              <w:left w:type="dxa" w:w="150"/>
              <w:bottom w:type="dxa" w:w="90"/>
              <w:right w:type="dxa" w:w="150"/>
            </w:tcMar>
            <w:vAlign w:val="center"/>
          </w:tcPr>
          <w:p>
            <w:pPr>
              <w:jc w:val="left"/>
            </w:pPr>
            <w:r>
              <w:rPr>
                <w:rFonts w:ascii="Arial" w:cs="Arial" w:eastAsia="Arial" w:hAnsi="Arial"/>
                <w:b/>
                <w:bCs/>
                <w:color w:val="FFFFFF"/>
                <w:sz w:val="19"/>
                <w:szCs w:val="19"/>
              </w:rPr>
              <w:t xml:space="preserve">TYPE</w:t>
            </w:r>
          </w:p>
        </w:tc>
        <w:tc>
          <w:tcPr>
            <w:tcW w:type="dxa" w:w="5600"/>
            <w:tcBorders>
              <w:top w:val="single" w:color="CCCCCC" w:sz="1"/>
              <w:left w:val="single" w:color="CCCCCC" w:sz="1"/>
              <w:bottom w:val="single" w:color="CCCCCC" w:sz="1"/>
              <w:right w:val="single" w:color="CCCCCC" w:sz="1"/>
            </w:tcBorders>
            <w:shd w:fill="0D1B2A" w:val="clear"/>
            <w:tcMar>
              <w:top w:type="dxa" w:w="90"/>
              <w:left w:type="dxa" w:w="150"/>
              <w:bottom w:type="dxa" w:w="90"/>
              <w:right w:type="dxa" w:w="150"/>
            </w:tcMar>
            <w:vAlign w:val="center"/>
          </w:tcPr>
          <w:p>
            <w:pPr>
              <w:jc w:val="left"/>
            </w:pPr>
            <w:r>
              <w:rPr>
                <w:rFonts w:ascii="Arial" w:cs="Arial" w:eastAsia="Arial" w:hAnsi="Arial"/>
                <w:b/>
                <w:bCs/>
                <w:color w:val="FFFFFF"/>
                <w:sz w:val="19"/>
                <w:szCs w:val="19"/>
              </w:rPr>
              <w:t xml:space="preserve">DESCRIPTION</w:t>
            </w:r>
          </w:p>
        </w:tc>
      </w:tr>
      <w:tr>
        <w:tc>
          <w:tcPr>
            <w:tcW w:type="dxa" w:w="2000"/>
            <w:tcBorders>
              <w:top w:val="single" w:color="CCCCCC" w:sz="1"/>
              <w:left w:val="single" w:color="CCCCCC" w:sz="1"/>
              <w:bottom w:val="single" w:color="CCCCCC" w:sz="1"/>
              <w:right w:val="single" w:color="CCCCCC" w:sz="1"/>
            </w:tcBorders>
            <w:shd w:fill="F8F6F0" w:val="clear"/>
            <w:tcMar>
              <w:top w:type="dxa" w:w="90"/>
              <w:left w:type="dxa" w:w="150"/>
              <w:bottom w:type="dxa" w:w="90"/>
              <w:right w:type="dxa" w:w="150"/>
            </w:tcMar>
            <w:vAlign w:val="center"/>
          </w:tcPr>
          <w:p>
            <w:pPr>
              <w:jc w:val="left"/>
            </w:pPr>
            <w:r>
              <w:rPr>
                <w:rFonts w:ascii="Georgia" w:cs="Georgia" w:eastAsia="Georgia" w:hAnsi="Georgia"/>
                <w:b w:val="false"/>
                <w:bCs w:val="false"/>
                <w:color w:val="4A5568"/>
                <w:sz w:val="19"/>
                <w:szCs w:val="19"/>
              </w:rPr>
              <w:t xml:space="preserve">Concord Stones</w:t>
            </w:r>
          </w:p>
        </w:tc>
        <w:tc>
          <w:tcPr>
            <w:tcW w:type="dxa" w:w="1760"/>
            <w:tcBorders>
              <w:top w:val="single" w:color="CCCCCC" w:sz="1"/>
              <w:left w:val="single" w:color="CCCCCC" w:sz="1"/>
              <w:bottom w:val="single" w:color="CCCCCC" w:sz="1"/>
              <w:right w:val="single" w:color="CCCCCC" w:sz="1"/>
            </w:tcBorders>
            <w:shd w:fill="F8F6F0" w:val="clear"/>
            <w:tcMar>
              <w:top w:type="dxa" w:w="90"/>
              <w:left w:type="dxa" w:w="150"/>
              <w:bottom w:type="dxa" w:w="90"/>
              <w:right w:type="dxa" w:w="150"/>
            </w:tcMar>
            <w:vAlign w:val="center"/>
          </w:tcPr>
          <w:p>
            <w:pPr>
              <w:jc w:val="left"/>
            </w:pPr>
            <w:r>
              <w:rPr>
                <w:rFonts w:ascii="Georgia" w:cs="Georgia" w:eastAsia="Georgia" w:hAnsi="Georgia"/>
                <w:b w:val="false"/>
                <w:bCs w:val="false"/>
                <w:color w:val="4A5568"/>
                <w:sz w:val="19"/>
                <w:szCs w:val="19"/>
              </w:rPr>
              <w:t xml:space="preserve">Strategy — skill dominant</w:t>
            </w:r>
          </w:p>
        </w:tc>
        <w:tc>
          <w:tcPr>
            <w:tcW w:type="dxa" w:w="5600"/>
            <w:tcBorders>
              <w:top w:val="single" w:color="CCCCCC" w:sz="1"/>
              <w:left w:val="single" w:color="CCCCCC" w:sz="1"/>
              <w:bottom w:val="single" w:color="CCCCCC" w:sz="1"/>
              <w:right w:val="single" w:color="CCCCCC" w:sz="1"/>
            </w:tcBorders>
            <w:shd w:fill="F8F6F0" w:val="clear"/>
            <w:tcMar>
              <w:top w:type="dxa" w:w="90"/>
              <w:left w:type="dxa" w:w="150"/>
              <w:bottom w:type="dxa" w:w="90"/>
              <w:right w:type="dxa" w:w="150"/>
            </w:tcMar>
            <w:vAlign w:val="center"/>
          </w:tcPr>
          <w:p>
            <w:pPr>
              <w:jc w:val="left"/>
            </w:pPr>
            <w:r>
              <w:rPr>
                <w:rFonts w:ascii="Georgia" w:cs="Georgia" w:eastAsia="Georgia" w:hAnsi="Georgia"/>
                <w:b w:val="false"/>
                <w:bCs w:val="false"/>
                <w:color w:val="4A5568"/>
                <w:sz w:val="19"/>
                <w:szCs w:val="19"/>
              </w:rPr>
              <w:t xml:space="preserve">The Concord's native board game. 2–4 players, strategic placement, territory dynamics. 800 years of recorded champions in the Remembrance. The most prestigious House Game.</w:t>
            </w:r>
          </w:p>
        </w:tc>
      </w:tr>
      <w:tr>
        <w:tc>
          <w:tcPr>
            <w:tcW w:type="dxa" w:w="20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vAlign w:val="center"/>
          </w:tcPr>
          <w:p>
            <w:pPr>
              <w:jc w:val="left"/>
            </w:pPr>
            <w:r>
              <w:rPr>
                <w:rFonts w:ascii="Georgia" w:cs="Georgia" w:eastAsia="Georgia" w:hAnsi="Georgia"/>
                <w:b w:val="false"/>
                <w:bCs w:val="false"/>
                <w:color w:val="4A5568"/>
                <w:sz w:val="19"/>
                <w:szCs w:val="19"/>
              </w:rPr>
              <w:t xml:space="preserve">The Navigator's Wager</w:t>
            </w:r>
          </w:p>
        </w:tc>
        <w:tc>
          <w:tcPr>
            <w:tcW w:type="dxa" w:w="176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vAlign w:val="center"/>
          </w:tcPr>
          <w:p>
            <w:pPr>
              <w:jc w:val="left"/>
            </w:pPr>
            <w:r>
              <w:rPr>
                <w:rFonts w:ascii="Georgia" w:cs="Georgia" w:eastAsia="Georgia" w:hAnsi="Georgia"/>
                <w:b w:val="false"/>
                <w:bCs w:val="false"/>
                <w:color w:val="4A5568"/>
                <w:sz w:val="19"/>
                <w:szCs w:val="19"/>
              </w:rPr>
              <w:t xml:space="preserve">Skill / Prediction</w:t>
            </w:r>
          </w:p>
        </w:tc>
        <w:tc>
          <w:tcPr>
            <w:tcW w:type="dxa" w:w="56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vAlign w:val="center"/>
          </w:tcPr>
          <w:p>
            <w:pPr>
              <w:jc w:val="left"/>
            </w:pPr>
            <w:r>
              <w:rPr>
                <w:rFonts w:ascii="Georgia" w:cs="Georgia" w:eastAsia="Georgia" w:hAnsi="Georgia"/>
                <w:b w:val="false"/>
                <w:bCs w:val="false"/>
                <w:color w:val="4A5568"/>
                <w:sz w:val="19"/>
                <w:szCs w:val="19"/>
              </w:rPr>
              <w:t xml:space="preserve">Wager on Lattice route outcomes using public Ledger data. Better information produces better predictions.</w:t>
            </w:r>
          </w:p>
        </w:tc>
      </w:tr>
      <w:tr>
        <w:tc>
          <w:tcPr>
            <w:tcW w:type="dxa" w:w="2000"/>
            <w:tcBorders>
              <w:top w:val="single" w:color="CCCCCC" w:sz="1"/>
              <w:left w:val="single" w:color="CCCCCC" w:sz="1"/>
              <w:bottom w:val="single" w:color="CCCCCC" w:sz="1"/>
              <w:right w:val="single" w:color="CCCCCC" w:sz="1"/>
            </w:tcBorders>
            <w:shd w:fill="F8F6F0" w:val="clear"/>
            <w:tcMar>
              <w:top w:type="dxa" w:w="90"/>
              <w:left w:type="dxa" w:w="150"/>
              <w:bottom w:type="dxa" w:w="90"/>
              <w:right w:type="dxa" w:w="150"/>
            </w:tcMar>
            <w:vAlign w:val="center"/>
          </w:tcPr>
          <w:p>
            <w:pPr>
              <w:jc w:val="left"/>
            </w:pPr>
            <w:r>
              <w:rPr>
                <w:rFonts w:ascii="Georgia" w:cs="Georgia" w:eastAsia="Georgia" w:hAnsi="Georgia"/>
                <w:b w:val="false"/>
                <w:bCs w:val="false"/>
                <w:color w:val="4A5568"/>
                <w:sz w:val="19"/>
                <w:szCs w:val="19"/>
              </w:rPr>
              <w:t xml:space="preserve">The Assembly Vote</w:t>
            </w:r>
          </w:p>
        </w:tc>
        <w:tc>
          <w:tcPr>
            <w:tcW w:type="dxa" w:w="1760"/>
            <w:tcBorders>
              <w:top w:val="single" w:color="CCCCCC" w:sz="1"/>
              <w:left w:val="single" w:color="CCCCCC" w:sz="1"/>
              <w:bottom w:val="single" w:color="CCCCCC" w:sz="1"/>
              <w:right w:val="single" w:color="CCCCCC" w:sz="1"/>
            </w:tcBorders>
            <w:shd w:fill="F8F6F0" w:val="clear"/>
            <w:tcMar>
              <w:top w:type="dxa" w:w="90"/>
              <w:left w:type="dxa" w:w="150"/>
              <w:bottom w:type="dxa" w:w="90"/>
              <w:right w:type="dxa" w:w="150"/>
            </w:tcMar>
            <w:vAlign w:val="center"/>
          </w:tcPr>
          <w:p>
            <w:pPr>
              <w:jc w:val="left"/>
            </w:pPr>
            <w:r>
              <w:rPr>
                <w:rFonts w:ascii="Georgia" w:cs="Georgia" w:eastAsia="Georgia" w:hAnsi="Georgia"/>
                <w:b w:val="false"/>
                <w:bCs w:val="false"/>
                <w:color w:val="4A5568"/>
                <w:sz w:val="19"/>
                <w:szCs w:val="19"/>
              </w:rPr>
              <w:t xml:space="preserve">Social / Prediction</w:t>
            </w:r>
          </w:p>
        </w:tc>
        <w:tc>
          <w:tcPr>
            <w:tcW w:type="dxa" w:w="5600"/>
            <w:tcBorders>
              <w:top w:val="single" w:color="CCCCCC" w:sz="1"/>
              <w:left w:val="single" w:color="CCCCCC" w:sz="1"/>
              <w:bottom w:val="single" w:color="CCCCCC" w:sz="1"/>
              <w:right w:val="single" w:color="CCCCCC" w:sz="1"/>
            </w:tcBorders>
            <w:shd w:fill="F8F6F0" w:val="clear"/>
            <w:tcMar>
              <w:top w:type="dxa" w:w="90"/>
              <w:left w:type="dxa" w:w="150"/>
              <w:bottom w:type="dxa" w:w="90"/>
              <w:right w:type="dxa" w:w="150"/>
            </w:tcMar>
            <w:vAlign w:val="center"/>
          </w:tcPr>
          <w:p>
            <w:pPr>
              <w:jc w:val="left"/>
            </w:pPr>
            <w:r>
              <w:rPr>
                <w:rFonts w:ascii="Georgia" w:cs="Georgia" w:eastAsia="Georgia" w:hAnsi="Georgia"/>
                <w:b w:val="false"/>
                <w:bCs w:val="false"/>
                <w:color w:val="4A5568"/>
                <w:sz w:val="19"/>
                <w:szCs w:val="19"/>
              </w:rPr>
              <w:t xml:space="preserve">Wager on how real Assembly votes resolve. Creates deep investment in political storylines. Most lore-integrated.</w:t>
            </w:r>
          </w:p>
        </w:tc>
      </w:tr>
      <w:tr>
        <w:tc>
          <w:tcPr>
            <w:tcW w:type="dxa" w:w="20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vAlign w:val="center"/>
          </w:tcPr>
          <w:p>
            <w:pPr>
              <w:jc w:val="left"/>
            </w:pPr>
            <w:r>
              <w:rPr>
                <w:rFonts w:ascii="Georgia" w:cs="Georgia" w:eastAsia="Georgia" w:hAnsi="Georgia"/>
                <w:b w:val="false"/>
                <w:bCs w:val="false"/>
                <w:color w:val="4A5568"/>
                <w:sz w:val="19"/>
                <w:szCs w:val="19"/>
              </w:rPr>
              <w:t xml:space="preserve">The Silence Pool</w:t>
            </w:r>
          </w:p>
        </w:tc>
        <w:tc>
          <w:tcPr>
            <w:tcW w:type="dxa" w:w="176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vAlign w:val="center"/>
          </w:tcPr>
          <w:p>
            <w:pPr>
              <w:jc w:val="left"/>
            </w:pPr>
            <w:r>
              <w:rPr>
                <w:rFonts w:ascii="Georgia" w:cs="Georgia" w:eastAsia="Georgia" w:hAnsi="Georgia"/>
                <w:b w:val="false"/>
                <w:bCs w:val="false"/>
                <w:color w:val="4A5568"/>
                <w:sz w:val="19"/>
                <w:szCs w:val="19"/>
              </w:rPr>
              <w:t xml:space="preserve">Prediction / Lore</w:t>
            </w:r>
          </w:p>
        </w:tc>
        <w:tc>
          <w:tcPr>
            <w:tcW w:type="dxa" w:w="56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vAlign w:val="center"/>
          </w:tcPr>
          <w:p>
            <w:pPr>
              <w:jc w:val="left"/>
            </w:pPr>
            <w:r>
              <w:rPr>
                <w:rFonts w:ascii="Georgia" w:cs="Georgia" w:eastAsia="Georgia" w:hAnsi="Georgia"/>
                <w:b w:val="false"/>
                <w:bCs w:val="false"/>
                <w:color w:val="4A5568"/>
                <w:sz w:val="19"/>
                <w:szCs w:val="19"/>
              </w:rPr>
              <w:t xml:space="preserve">Season-long: which dark star system yields its first signal. Rewards players who study the Architect's reports.</w:t>
            </w:r>
          </w:p>
        </w:tc>
      </w:tr>
      <w:tr>
        <w:tc>
          <w:tcPr>
            <w:tcW w:type="dxa" w:w="2000"/>
            <w:tcBorders>
              <w:top w:val="single" w:color="CCCCCC" w:sz="1"/>
              <w:left w:val="single" w:color="CCCCCC" w:sz="1"/>
              <w:bottom w:val="single" w:color="CCCCCC" w:sz="1"/>
              <w:right w:val="single" w:color="CCCCCC" w:sz="1"/>
            </w:tcBorders>
            <w:shd w:fill="F8F6F0" w:val="clear"/>
            <w:tcMar>
              <w:top w:type="dxa" w:w="90"/>
              <w:left w:type="dxa" w:w="150"/>
              <w:bottom w:type="dxa" w:w="90"/>
              <w:right w:type="dxa" w:w="150"/>
            </w:tcMar>
            <w:vAlign w:val="center"/>
          </w:tcPr>
          <w:p>
            <w:pPr>
              <w:jc w:val="left"/>
            </w:pPr>
            <w:r>
              <w:rPr>
                <w:rFonts w:ascii="Georgia" w:cs="Georgia" w:eastAsia="Georgia" w:hAnsi="Georgia"/>
                <w:b w:val="false"/>
                <w:bCs w:val="false"/>
                <w:color w:val="4A5568"/>
                <w:sz w:val="19"/>
                <w:szCs w:val="19"/>
              </w:rPr>
              <w:t xml:space="preserve">Flux Draw</w:t>
            </w:r>
          </w:p>
        </w:tc>
        <w:tc>
          <w:tcPr>
            <w:tcW w:type="dxa" w:w="1760"/>
            <w:tcBorders>
              <w:top w:val="single" w:color="CCCCCC" w:sz="1"/>
              <w:left w:val="single" w:color="CCCCCC" w:sz="1"/>
              <w:bottom w:val="single" w:color="CCCCCC" w:sz="1"/>
              <w:right w:val="single" w:color="CCCCCC" w:sz="1"/>
            </w:tcBorders>
            <w:shd w:fill="F8F6F0" w:val="clear"/>
            <w:tcMar>
              <w:top w:type="dxa" w:w="90"/>
              <w:left w:type="dxa" w:w="150"/>
              <w:bottom w:type="dxa" w:w="90"/>
              <w:right w:type="dxa" w:w="150"/>
            </w:tcMar>
            <w:vAlign w:val="center"/>
          </w:tcPr>
          <w:p>
            <w:pPr>
              <w:jc w:val="left"/>
            </w:pPr>
            <w:r>
              <w:rPr>
                <w:rFonts w:ascii="Georgia" w:cs="Georgia" w:eastAsia="Georgia" w:hAnsi="Georgia"/>
                <w:b w:val="false"/>
                <w:bCs w:val="false"/>
                <w:color w:val="4A5568"/>
                <w:sz w:val="19"/>
                <w:szCs w:val="19"/>
              </w:rPr>
              <w:t xml:space="preserve">Chance — fully disclosed</w:t>
            </w:r>
          </w:p>
        </w:tc>
        <w:tc>
          <w:tcPr>
            <w:tcW w:type="dxa" w:w="5600"/>
            <w:tcBorders>
              <w:top w:val="single" w:color="CCCCCC" w:sz="1"/>
              <w:left w:val="single" w:color="CCCCCC" w:sz="1"/>
              <w:bottom w:val="single" w:color="CCCCCC" w:sz="1"/>
              <w:right w:val="single" w:color="CCCCCC" w:sz="1"/>
            </w:tcBorders>
            <w:shd w:fill="F8F6F0" w:val="clear"/>
            <w:tcMar>
              <w:top w:type="dxa" w:w="90"/>
              <w:left w:type="dxa" w:w="150"/>
              <w:bottom w:type="dxa" w:w="90"/>
              <w:right w:type="dxa" w:w="150"/>
            </w:tcMar>
            <w:vAlign w:val="center"/>
          </w:tcPr>
          <w:p>
            <w:pPr>
              <w:jc w:val="left"/>
            </w:pPr>
            <w:r>
              <w:rPr>
                <w:rFonts w:ascii="Georgia" w:cs="Georgia" w:eastAsia="Georgia" w:hAnsi="Georgia"/>
                <w:b w:val="false"/>
                <w:bCs w:val="false"/>
                <w:color w:val="4A5568"/>
                <w:sz w:val="19"/>
                <w:szCs w:val="19"/>
              </w:rPr>
              <w:t xml:space="preserve">Pure-chance card draw with published probabilities. KALON-only stakes.</w:t>
            </w:r>
          </w:p>
        </w:tc>
      </w:tr>
    </w:tbl>
    <w:p>
      <w:r>
        <w:br w:type="page"/>
      </w:r>
    </w:p>
    <w:p>
      <w:pPr>
        <w:shd w:fill="0D1B2A" w:val="clear"/>
        <w:spacing w:before="2200" w:after="0"/>
        <w:jc w:val="center"/>
      </w:pPr>
      <w:r>
        <w:rPr>
          <w:rFonts w:ascii="Arial" w:cs="Arial" w:eastAsia="Arial" w:hAnsi="Arial"/>
          <w:b/>
          <w:bCs/>
          <w:color w:val="C9A84C"/>
          <w:sz w:val="20"/>
          <w:szCs w:val="20"/>
        </w:rPr>
        <w:t xml:space="preserve">  SECTION VIII  </w:t>
      </w:r>
    </w:p>
    <w:p>
      <w:pPr>
        <w:spacing w:before="0" w:after="0"/>
        <w:jc w:val="center"/>
      </w:pPr>
      <w:r>
        <w:rPr>
          <w:rFonts w:ascii="Arial" w:cs="Arial" w:eastAsia="Arial" w:hAnsi="Arial"/>
          <w:b/>
          <w:bCs/>
          <w:color w:val="0D1B2A"/>
          <w:sz w:val="42"/>
          <w:szCs w:val="42"/>
        </w:rPr>
        <w:t xml:space="preserve">NARRATIVE ARCHITECTURE</w:t>
      </w:r>
    </w:p>
    <w:p>
      <w:pPr>
        <w:spacing w:before="120" w:after="400"/>
        <w:jc w:val="center"/>
      </w:pPr>
      <w:r>
        <w:rPr>
          <w:rFonts w:ascii="Arial" w:cs="Arial" w:eastAsia="Arial" w:hAnsi="Arial"/>
          <w:color w:val="C9A84C"/>
          <w:sz w:val="18"/>
          <w:szCs w:val="18"/>
        </w:rPr>
        <w:t xml:space="preserve">━━━━━━━━━━━━━━━━━━━━━━━━━━━━━━━━━</w:t>
      </w:r>
    </w:p>
    <w:p>
      <w:pPr>
        <w:pStyle w:val="Heading1"/>
        <w:pageBreakBefore/>
        <w:pBdr>
          <w:bottom w:val="single" w:color="C9A84C" w:sz="12"/>
        </w:pBdr>
        <w:spacing w:before="0" w:after="200"/>
      </w:pPr>
      <w:r>
        <w:rPr>
          <w:rFonts w:ascii="Arial" w:cs="Arial" w:eastAsia="Arial" w:hAnsi="Arial"/>
          <w:b/>
          <w:bCs/>
          <w:color w:val="0D1B2A"/>
          <w:sz w:val="36"/>
          <w:szCs w:val="36"/>
        </w:rPr>
        <w:t xml:space="preserve">THREE LAYERS</w:t>
      </w:r>
    </w:p>
    <w:p>
      <w:pPr>
        <w:pStyle w:val="Heading2"/>
        <w:spacing w:before="360" w:after="140"/>
      </w:pPr>
      <w:r>
        <w:rPr>
          <w:rFonts w:ascii="Arial" w:cs="Arial" w:eastAsia="Arial" w:hAnsi="Arial"/>
          <w:b/>
          <w:bCs/>
          <w:color w:val="2E4057"/>
          <w:sz w:val="28"/>
          <w:szCs w:val="28"/>
        </w:rPr>
        <w:t xml:space="preserve">8.1  Layer 1 — Authored</w:t>
      </w:r>
    </w:p>
    <w:p>
      <w:pPr>
        <w:spacing w:before="60" w:after="120"/>
      </w:pPr>
      <w:r>
        <w:rPr>
          <w:rFonts w:ascii="Georgia" w:cs="Georgia" w:eastAsia="Georgia" w:hAnsi="Georgia"/>
          <w:color w:val="4A5568"/>
          <w:sz w:val="22"/>
          <w:szCs w:val="22"/>
        </w:rPr>
        <w:t xml:space="preserve">Written by the studio. Fixed. The 12 principals have complete arcs across all five Phases. The Ascendancy arrives. The Architect reports. These events will occur. Player action influences timing, severity, context — not existence.</w:t>
      </w:r>
    </w:p>
    <w:p>
      <w:pPr>
        <w:pStyle w:val="Heading2"/>
        <w:spacing w:before="360" w:after="140"/>
      </w:pPr>
      <w:r>
        <w:rPr>
          <w:rFonts w:ascii="Arial" w:cs="Arial" w:eastAsia="Arial" w:hAnsi="Arial"/>
          <w:b/>
          <w:bCs/>
          <w:color w:val="2E4057"/>
          <w:sz w:val="28"/>
          <w:szCs w:val="28"/>
        </w:rPr>
        <w:t xml:space="preserve">8.2  Layer 2 — Responsive</w:t>
      </w:r>
    </w:p>
    <w:p>
      <w:pPr>
        <w:spacing w:before="60" w:after="120"/>
      </w:pPr>
      <w:r>
        <w:rPr>
          <w:rFonts w:ascii="Georgia" w:cs="Georgia" w:eastAsia="Georgia" w:hAnsi="Georgia"/>
          <w:color w:val="4A5568"/>
          <w:sz w:val="22"/>
          <w:szCs w:val="22"/>
        </w:rPr>
        <w:t xml:space="preserve">Seeded by the studio, resolved by players. Each world's trajectory, economic health, and Ascendancy resilience emerges from what players actually do. No two playthroughs of Phase 2 produce the same world map.</w:t>
      </w:r>
    </w:p>
    <w:p>
      <w:pPr>
        <w:pStyle w:val="Heading2"/>
        <w:spacing w:before="360" w:after="140"/>
      </w:pPr>
      <w:r>
        <w:rPr>
          <w:rFonts w:ascii="Arial" w:cs="Arial" w:eastAsia="Arial" w:hAnsi="Arial"/>
          <w:b/>
          <w:bCs/>
          <w:color w:val="2E4057"/>
          <w:sz w:val="28"/>
          <w:szCs w:val="28"/>
        </w:rPr>
        <w:t xml:space="preserve">8.3  Layer 3 — Undirected</w:t>
      </w:r>
    </w:p>
    <w:p>
      <w:pPr>
        <w:spacing w:before="60" w:after="120"/>
      </w:pPr>
      <w:r>
        <w:rPr>
          <w:rFonts w:ascii="Georgia" w:cs="Georgia" w:eastAsia="Georgia" w:hAnsi="Georgia"/>
          <w:color w:val="4A5568"/>
          <w:sz w:val="22"/>
          <w:szCs w:val="22"/>
        </w:rPr>
        <w:t xml:space="preserve">The studio cannot predict these outcomes. Resolution logic runs on the Universal Action Fingerprint (UAF — rolling hash of all player actions, committed to a public ledger every 60 seconds) combined with the NIST Randomness Beacon. Outcomes are cryptographically committed 72 hours before they occur. The studio sees the commitment hash. It sees the pre-image at the same moment players do.</w:t>
      </w:r>
    </w:p>
    <w:p>
      <w:pPr>
        <w:spacing w:before="60" w:after="120"/>
      </w:pPr>
      <w:r>
        <w:rPr>
          <w:rFonts w:ascii="Georgia" w:cs="Georgia" w:eastAsia="Georgia" w:hAnsi="Georgia"/>
          <w:color w:val="4A5568"/>
          <w:sz w:val="22"/>
          <w:szCs w:val="22"/>
        </w:rPr>
        <w:t xml:space="preserve">Undirected outcomes include: exact timing of first confirmed Ascendancy incursion, identity of first Survivor Mark dynasty, content of The Architect's seventh report, cascade sequence of the Silence Event.</w:t>
      </w:r>
    </w:p>
    <w:p>
      <w:pPr>
        <w:pStyle w:val="Heading2"/>
        <w:spacing w:before="360" w:after="140"/>
      </w:pPr>
      <w:r>
        <w:rPr>
          <w:rFonts w:ascii="Arial" w:cs="Arial" w:eastAsia="Arial" w:hAnsi="Arial"/>
          <w:b/>
          <w:bCs/>
          <w:color w:val="2E4057"/>
          <w:sz w:val="28"/>
          <w:szCs w:val="28"/>
        </w:rPr>
        <w:t xml:space="preserve">8.4  The Character Population</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200"/>
        <w:gridCol w:w="6560"/>
      </w:tblGrid>
      <w:tr>
        <w:tc>
          <w:tcPr>
            <w:tcW w:type="dxa" w:w="1600"/>
            <w:tcBorders>
              <w:top w:val="single" w:color="CCCCCC" w:sz="1"/>
              <w:left w:val="single" w:color="CCCCCC" w:sz="1"/>
              <w:bottom w:val="single" w:color="CCCCCC" w:sz="1"/>
              <w:right w:val="single" w:color="CCCCCC" w:sz="1"/>
            </w:tcBorders>
            <w:shd w:fill="0D1B2A" w:val="clear"/>
            <w:tcMar>
              <w:top w:type="dxa" w:w="90"/>
              <w:left w:type="dxa" w:w="150"/>
              <w:bottom w:type="dxa" w:w="90"/>
              <w:right w:type="dxa" w:w="150"/>
            </w:tcMar>
            <w:vAlign w:val="center"/>
          </w:tcPr>
          <w:p>
            <w:pPr>
              <w:jc w:val="left"/>
            </w:pPr>
            <w:r>
              <w:rPr>
                <w:rFonts w:ascii="Arial" w:cs="Arial" w:eastAsia="Arial" w:hAnsi="Arial"/>
                <w:b/>
                <w:bCs/>
                <w:color w:val="FFFFFF"/>
                <w:sz w:val="19"/>
                <w:szCs w:val="19"/>
              </w:rPr>
              <w:t xml:space="preserve">TIER</w:t>
            </w:r>
          </w:p>
        </w:tc>
        <w:tc>
          <w:tcPr>
            <w:tcW w:type="dxa" w:w="1200"/>
            <w:tcBorders>
              <w:top w:val="single" w:color="CCCCCC" w:sz="1"/>
              <w:left w:val="single" w:color="CCCCCC" w:sz="1"/>
              <w:bottom w:val="single" w:color="CCCCCC" w:sz="1"/>
              <w:right w:val="single" w:color="CCCCCC" w:sz="1"/>
            </w:tcBorders>
            <w:shd w:fill="0D1B2A" w:val="clear"/>
            <w:tcMar>
              <w:top w:type="dxa" w:w="90"/>
              <w:left w:type="dxa" w:w="150"/>
              <w:bottom w:type="dxa" w:w="90"/>
              <w:right w:type="dxa" w:w="150"/>
            </w:tcMar>
            <w:vAlign w:val="center"/>
          </w:tcPr>
          <w:p>
            <w:pPr>
              <w:jc w:val="left"/>
            </w:pPr>
            <w:r>
              <w:rPr>
                <w:rFonts w:ascii="Arial" w:cs="Arial" w:eastAsia="Arial" w:hAnsi="Arial"/>
                <w:b/>
                <w:bCs/>
                <w:color w:val="FFFFFF"/>
                <w:sz w:val="19"/>
                <w:szCs w:val="19"/>
              </w:rPr>
              <w:t xml:space="preserve">COUNT</w:t>
            </w:r>
          </w:p>
        </w:tc>
        <w:tc>
          <w:tcPr>
            <w:tcW w:type="dxa" w:w="6560"/>
            <w:tcBorders>
              <w:top w:val="single" w:color="CCCCCC" w:sz="1"/>
              <w:left w:val="single" w:color="CCCCCC" w:sz="1"/>
              <w:bottom w:val="single" w:color="CCCCCC" w:sz="1"/>
              <w:right w:val="single" w:color="CCCCCC" w:sz="1"/>
            </w:tcBorders>
            <w:shd w:fill="0D1B2A" w:val="clear"/>
            <w:tcMar>
              <w:top w:type="dxa" w:w="90"/>
              <w:left w:type="dxa" w:w="150"/>
              <w:bottom w:type="dxa" w:w="90"/>
              <w:right w:type="dxa" w:w="150"/>
            </w:tcMar>
            <w:vAlign w:val="center"/>
          </w:tcPr>
          <w:p>
            <w:pPr>
              <w:jc w:val="left"/>
            </w:pPr>
            <w:r>
              <w:rPr>
                <w:rFonts w:ascii="Arial" w:cs="Arial" w:eastAsia="Arial" w:hAnsi="Arial"/>
                <w:b/>
                <w:bCs/>
                <w:color w:val="FFFFFF"/>
                <w:sz w:val="19"/>
                <w:szCs w:val="19"/>
              </w:rPr>
              <w:t xml:space="preserve">APPROACH</w:t>
            </w:r>
          </w:p>
        </w:tc>
      </w:tr>
      <w:tr>
        <w:tc>
          <w:tcPr>
            <w:tcW w:type="dxa" w:w="1600"/>
            <w:tcBorders>
              <w:top w:val="single" w:color="CCCCCC" w:sz="1"/>
              <w:left w:val="single" w:color="CCCCCC" w:sz="1"/>
              <w:bottom w:val="single" w:color="CCCCCC" w:sz="1"/>
              <w:right w:val="single" w:color="CCCCCC" w:sz="1"/>
            </w:tcBorders>
            <w:shd w:fill="F8F6F0" w:val="clear"/>
            <w:tcMar>
              <w:top w:type="dxa" w:w="90"/>
              <w:left w:type="dxa" w:w="150"/>
              <w:bottom w:type="dxa" w:w="90"/>
              <w:right w:type="dxa" w:w="150"/>
            </w:tcMar>
            <w:vAlign w:val="center"/>
          </w:tcPr>
          <w:p>
            <w:pPr>
              <w:jc w:val="left"/>
            </w:pPr>
            <w:r>
              <w:rPr>
                <w:rFonts w:ascii="Georgia" w:cs="Georgia" w:eastAsia="Georgia" w:hAnsi="Georgia"/>
                <w:b w:val="false"/>
                <w:bCs w:val="false"/>
                <w:color w:val="4A5568"/>
                <w:sz w:val="19"/>
                <w:szCs w:val="19"/>
              </w:rPr>
              <w:t xml:space="preserve">Principal</w:t>
            </w:r>
          </w:p>
        </w:tc>
        <w:tc>
          <w:tcPr>
            <w:tcW w:type="dxa" w:w="1200"/>
            <w:tcBorders>
              <w:top w:val="single" w:color="CCCCCC" w:sz="1"/>
              <w:left w:val="single" w:color="CCCCCC" w:sz="1"/>
              <w:bottom w:val="single" w:color="CCCCCC" w:sz="1"/>
              <w:right w:val="single" w:color="CCCCCC" w:sz="1"/>
            </w:tcBorders>
            <w:shd w:fill="F8F6F0" w:val="clear"/>
            <w:tcMar>
              <w:top w:type="dxa" w:w="90"/>
              <w:left w:type="dxa" w:w="150"/>
              <w:bottom w:type="dxa" w:w="90"/>
              <w:right w:type="dxa" w:w="150"/>
            </w:tcMar>
            <w:vAlign w:val="center"/>
          </w:tcPr>
          <w:p>
            <w:pPr>
              <w:jc w:val="left"/>
            </w:pPr>
            <w:r>
              <w:rPr>
                <w:rFonts w:ascii="Georgia" w:cs="Georgia" w:eastAsia="Georgia" w:hAnsi="Georgia"/>
                <w:b w:val="false"/>
                <w:bCs w:val="false"/>
                <w:color w:val="4A5568"/>
                <w:sz w:val="19"/>
                <w:szCs w:val="19"/>
              </w:rPr>
              <w:t xml:space="preserve">~12</w:t>
            </w:r>
          </w:p>
        </w:tc>
        <w:tc>
          <w:tcPr>
            <w:tcW w:type="dxa" w:w="6560"/>
            <w:tcBorders>
              <w:top w:val="single" w:color="CCCCCC" w:sz="1"/>
              <w:left w:val="single" w:color="CCCCCC" w:sz="1"/>
              <w:bottom w:val="single" w:color="CCCCCC" w:sz="1"/>
              <w:right w:val="single" w:color="CCCCCC" w:sz="1"/>
            </w:tcBorders>
            <w:shd w:fill="F8F6F0" w:val="clear"/>
            <w:tcMar>
              <w:top w:type="dxa" w:w="90"/>
              <w:left w:type="dxa" w:w="150"/>
              <w:bottom w:type="dxa" w:w="90"/>
              <w:right w:type="dxa" w:w="150"/>
            </w:tcMar>
            <w:vAlign w:val="center"/>
          </w:tcPr>
          <w:p>
            <w:pPr>
              <w:jc w:val="left"/>
            </w:pPr>
            <w:r>
              <w:rPr>
                <w:rFonts w:ascii="Georgia" w:cs="Georgia" w:eastAsia="Georgia" w:hAnsi="Georgia"/>
                <w:b w:val="false"/>
                <w:bCs w:val="false"/>
                <w:color w:val="4A5568"/>
                <w:sz w:val="19"/>
                <w:szCs w:val="19"/>
              </w:rPr>
              <w:t xml:space="preserve">Full arcs, voice, multi-Phase presence. Amara Voss, Idris Okafor, The Architect, Yael Osei, Dr. Hassan Selkirk (Meridian Principle), Andromache. Locked before launch.</w:t>
            </w:r>
          </w:p>
        </w:tc>
      </w:tr>
      <w:tr>
        <w:tc>
          <w:tcPr>
            <w:tcW w:type="dxa" w:w="16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vAlign w:val="center"/>
          </w:tcPr>
          <w:p>
            <w:pPr>
              <w:jc w:val="left"/>
            </w:pPr>
            <w:r>
              <w:rPr>
                <w:rFonts w:ascii="Georgia" w:cs="Georgia" w:eastAsia="Georgia" w:hAnsi="Georgia"/>
                <w:b w:val="false"/>
                <w:bCs w:val="false"/>
                <w:color w:val="4A5568"/>
                <w:sz w:val="19"/>
                <w:szCs w:val="19"/>
              </w:rPr>
              <w:t xml:space="preserve">Secondary</w:t>
            </w:r>
          </w:p>
        </w:tc>
        <w:tc>
          <w:tcPr>
            <w:tcW w:type="dxa" w:w="12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vAlign w:val="center"/>
          </w:tcPr>
          <w:p>
            <w:pPr>
              <w:jc w:val="left"/>
            </w:pPr>
            <w:r>
              <w:rPr>
                <w:rFonts w:ascii="Georgia" w:cs="Georgia" w:eastAsia="Georgia" w:hAnsi="Georgia"/>
                <w:b w:val="false"/>
                <w:bCs w:val="false"/>
                <w:color w:val="4A5568"/>
                <w:sz w:val="19"/>
                <w:szCs w:val="19"/>
              </w:rPr>
              <w:t xml:space="preserve">~80</w:t>
            </w:r>
          </w:p>
        </w:tc>
        <w:tc>
          <w:tcPr>
            <w:tcW w:type="dxa" w:w="656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vAlign w:val="center"/>
          </w:tcPr>
          <w:p>
            <w:pPr>
              <w:jc w:val="left"/>
            </w:pPr>
            <w:r>
              <w:rPr>
                <w:rFonts w:ascii="Georgia" w:cs="Georgia" w:eastAsia="Georgia" w:hAnsi="Georgia"/>
                <w:b w:val="false"/>
                <w:bCs w:val="false"/>
                <w:color w:val="4A5568"/>
                <w:sz w:val="19"/>
                <w:szCs w:val="19"/>
              </w:rPr>
              <w:t xml:space="preserve">Named, one defining scene or Remembrance record each. Referenced by Principals.</w:t>
            </w:r>
          </w:p>
        </w:tc>
      </w:tr>
      <w:tr>
        <w:tc>
          <w:tcPr>
            <w:tcW w:type="dxa" w:w="1600"/>
            <w:tcBorders>
              <w:top w:val="single" w:color="CCCCCC" w:sz="1"/>
              <w:left w:val="single" w:color="CCCCCC" w:sz="1"/>
              <w:bottom w:val="single" w:color="CCCCCC" w:sz="1"/>
              <w:right w:val="single" w:color="CCCCCC" w:sz="1"/>
            </w:tcBorders>
            <w:shd w:fill="F8F6F0" w:val="clear"/>
            <w:tcMar>
              <w:top w:type="dxa" w:w="90"/>
              <w:left w:type="dxa" w:w="150"/>
              <w:bottom w:type="dxa" w:w="90"/>
              <w:right w:type="dxa" w:w="150"/>
            </w:tcMar>
            <w:vAlign w:val="center"/>
          </w:tcPr>
          <w:p>
            <w:pPr>
              <w:jc w:val="left"/>
            </w:pPr>
            <w:r>
              <w:rPr>
                <w:rFonts w:ascii="Georgia" w:cs="Georgia" w:eastAsia="Georgia" w:hAnsi="Georgia"/>
                <w:b w:val="false"/>
                <w:bCs w:val="false"/>
                <w:color w:val="4A5568"/>
                <w:sz w:val="19"/>
                <w:szCs w:val="19"/>
              </w:rPr>
              <w:t xml:space="preserve">Tertiary</w:t>
            </w:r>
          </w:p>
        </w:tc>
        <w:tc>
          <w:tcPr>
            <w:tcW w:type="dxa" w:w="1200"/>
            <w:tcBorders>
              <w:top w:val="single" w:color="CCCCCC" w:sz="1"/>
              <w:left w:val="single" w:color="CCCCCC" w:sz="1"/>
              <w:bottom w:val="single" w:color="CCCCCC" w:sz="1"/>
              <w:right w:val="single" w:color="CCCCCC" w:sz="1"/>
            </w:tcBorders>
            <w:shd w:fill="F8F6F0" w:val="clear"/>
            <w:tcMar>
              <w:top w:type="dxa" w:w="90"/>
              <w:left w:type="dxa" w:w="150"/>
              <w:bottom w:type="dxa" w:w="90"/>
              <w:right w:type="dxa" w:w="150"/>
            </w:tcMar>
            <w:vAlign w:val="center"/>
          </w:tcPr>
          <w:p>
            <w:pPr>
              <w:jc w:val="left"/>
            </w:pPr>
            <w:r>
              <w:rPr>
                <w:rFonts w:ascii="Georgia" w:cs="Georgia" w:eastAsia="Georgia" w:hAnsi="Georgia"/>
                <w:b w:val="false"/>
                <w:bCs w:val="false"/>
                <w:color w:val="4A5568"/>
                <w:sz w:val="19"/>
                <w:szCs w:val="19"/>
              </w:rPr>
              <w:t xml:space="preserve">~400+</w:t>
            </w:r>
          </w:p>
        </w:tc>
        <w:tc>
          <w:tcPr>
            <w:tcW w:type="dxa" w:w="6560"/>
            <w:tcBorders>
              <w:top w:val="single" w:color="CCCCCC" w:sz="1"/>
              <w:left w:val="single" w:color="CCCCCC" w:sz="1"/>
              <w:bottom w:val="single" w:color="CCCCCC" w:sz="1"/>
              <w:right w:val="single" w:color="CCCCCC" w:sz="1"/>
            </w:tcBorders>
            <w:shd w:fill="F8F6F0" w:val="clear"/>
            <w:tcMar>
              <w:top w:type="dxa" w:w="90"/>
              <w:left w:type="dxa" w:w="150"/>
              <w:bottom w:type="dxa" w:w="90"/>
              <w:right w:type="dxa" w:w="150"/>
            </w:tcMar>
            <w:vAlign w:val="center"/>
          </w:tcPr>
          <w:p>
            <w:pPr>
              <w:jc w:val="left"/>
            </w:pPr>
            <w:r>
              <w:rPr>
                <w:rFonts w:ascii="Georgia" w:cs="Georgia" w:eastAsia="Georgia" w:hAnsi="Georgia"/>
                <w:b w:val="false"/>
                <w:bCs w:val="false"/>
                <w:color w:val="4A5568"/>
                <w:sz w:val="19"/>
                <w:szCs w:val="19"/>
              </w:rPr>
              <w:t xml:space="preserve">Names and capsule descriptions only — never voiced. 3–5 per world. Generated 20–30 per content release.</w:t>
            </w:r>
          </w:p>
        </w:tc>
      </w:tr>
      <w:tr>
        <w:tc>
          <w:tcPr>
            <w:tcW w:type="dxa" w:w="16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vAlign w:val="center"/>
          </w:tcPr>
          <w:p>
            <w:pPr>
              <w:jc w:val="left"/>
            </w:pPr>
            <w:r>
              <w:rPr>
                <w:rFonts w:ascii="Georgia" w:cs="Georgia" w:eastAsia="Georgia" w:hAnsi="Georgia"/>
                <w:b w:val="false"/>
                <w:bCs w:val="false"/>
                <w:color w:val="4A5568"/>
                <w:sz w:val="19"/>
                <w:szCs w:val="19"/>
              </w:rPr>
              <w:t xml:space="preserve">Player Dynasties</w:t>
            </w:r>
          </w:p>
        </w:tc>
        <w:tc>
          <w:tcPr>
            <w:tcW w:type="dxa" w:w="12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vAlign w:val="center"/>
          </w:tcPr>
          <w:p>
            <w:pPr>
              <w:jc w:val="left"/>
            </w:pPr>
            <w:r>
              <w:rPr>
                <w:rFonts w:ascii="Georgia" w:cs="Georgia" w:eastAsia="Georgia" w:hAnsi="Georgia"/>
                <w:b w:val="false"/>
                <w:bCs w:val="false"/>
                <w:color w:val="4A5568"/>
                <w:sz w:val="19"/>
                <w:szCs w:val="19"/>
              </w:rPr>
              <w:t xml:space="preserve">Thousands</w:t>
            </w:r>
          </w:p>
        </w:tc>
        <w:tc>
          <w:tcPr>
            <w:tcW w:type="dxa" w:w="656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vAlign w:val="center"/>
          </w:tcPr>
          <w:p>
            <w:pPr>
              <w:jc w:val="left"/>
            </w:pPr>
            <w:r>
              <w:rPr>
                <w:rFonts w:ascii="Georgia" w:cs="Georgia" w:eastAsia="Georgia" w:hAnsi="Georgia"/>
                <w:b w:val="false"/>
                <w:bCs w:val="false"/>
                <w:color w:val="4A5568"/>
                <w:sz w:val="19"/>
                <w:szCs w:val="19"/>
              </w:rPr>
              <w:t xml:space="preserve">The most important characters, because they are real. Honoured in the Remembrance at the same level as studio-created figures.</w:t>
            </w:r>
          </w:p>
        </w:tc>
      </w:tr>
    </w:tbl>
    <w:p>
      <w:r>
        <w:br w:type="page"/>
      </w:r>
    </w:p>
    <w:p>
      <w:pPr>
        <w:shd w:fill="0D1B2A" w:val="clear"/>
        <w:spacing w:before="2200" w:after="0"/>
        <w:jc w:val="center"/>
      </w:pPr>
      <w:r>
        <w:rPr>
          <w:rFonts w:ascii="Arial" w:cs="Arial" w:eastAsia="Arial" w:hAnsi="Arial"/>
          <w:b/>
          <w:bCs/>
          <w:color w:val="C9A84C"/>
          <w:sz w:val="20"/>
          <w:szCs w:val="20"/>
        </w:rPr>
        <w:t xml:space="preserve">  SECTION IX  </w:t>
      </w:r>
    </w:p>
    <w:p>
      <w:pPr>
        <w:spacing w:before="0" w:after="0"/>
        <w:jc w:val="center"/>
      </w:pPr>
      <w:r>
        <w:rPr>
          <w:rFonts w:ascii="Arial" w:cs="Arial" w:eastAsia="Arial" w:hAnsi="Arial"/>
          <w:b/>
          <w:bCs/>
          <w:color w:val="0D1B2A"/>
          <w:sz w:val="42"/>
          <w:szCs w:val="42"/>
        </w:rPr>
        <w:t xml:space="preserve">THE SIX MARKS</w:t>
      </w:r>
    </w:p>
    <w:p>
      <w:pPr>
        <w:spacing w:before="120" w:after="400"/>
        <w:jc w:val="center"/>
      </w:pPr>
      <w:r>
        <w:rPr>
          <w:rFonts w:ascii="Arial" w:cs="Arial" w:eastAsia="Arial" w:hAnsi="Arial"/>
          <w:color w:val="C9A84C"/>
          <w:sz w:val="18"/>
          <w:szCs w:val="18"/>
        </w:rPr>
        <w:t xml:space="preserve">━━━━━━━━━━━━━━━━━━━━━━━━━━━━━━━━━</w:t>
      </w:r>
    </w:p>
    <w:p>
      <w:pPr>
        <w:pStyle w:val="Heading1"/>
        <w:pageBreakBefore/>
        <w:pBdr>
          <w:bottom w:val="single" w:color="C9A84C" w:sz="12"/>
        </w:pBdr>
        <w:spacing w:before="0" w:after="200"/>
      </w:pPr>
      <w:r>
        <w:rPr>
          <w:rFonts w:ascii="Arial" w:cs="Arial" w:eastAsia="Arial" w:hAnsi="Arial"/>
          <w:b/>
          <w:bCs/>
          <w:color w:val="0D1B2A"/>
          <w:sz w:val="36"/>
          <w:szCs w:val="36"/>
        </w:rPr>
        <w:t xml:space="preserve">PERMANENT HONOURS — NEVER SOLD, NEVER TRANSFERRED</w:t>
      </w:r>
    </w:p>
    <w:p>
      <w:pPr>
        <w:spacing w:before="60" w:after="120"/>
      </w:pPr>
      <w:r>
        <w:rPr>
          <w:rFonts w:ascii="Georgia" w:cs="Georgia" w:eastAsia="Georgia" w:hAnsi="Georgia"/>
          <w:color w:val="4A5568"/>
          <w:sz w:val="22"/>
          <w:szCs w:val="22"/>
        </w:rPr>
        <w:t xml:space="preserve">Marks cannot be purchased. They cannot be transferred. A dynasty's Marks outlast its KALON. They outlast its world sovereignty. They outlast the dynasty itself.</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5360"/>
      </w:tblGrid>
      <w:tr>
        <w:tc>
          <w:tcPr>
            <w:tcW w:type="dxa" w:w="2400"/>
            <w:tcBorders>
              <w:top w:val="single" w:color="CCCCCC" w:sz="1"/>
              <w:left w:val="single" w:color="CCCCCC" w:sz="1"/>
              <w:bottom w:val="single" w:color="CCCCCC" w:sz="1"/>
              <w:right w:val="single" w:color="CCCCCC" w:sz="1"/>
            </w:tcBorders>
            <w:shd w:fill="0D1B2A" w:val="clear"/>
            <w:tcMar>
              <w:top w:type="dxa" w:w="90"/>
              <w:left w:type="dxa" w:w="150"/>
              <w:bottom w:type="dxa" w:w="90"/>
              <w:right w:type="dxa" w:w="150"/>
            </w:tcMar>
            <w:vAlign w:val="center"/>
          </w:tcPr>
          <w:p>
            <w:pPr>
              <w:jc w:val="left"/>
            </w:pPr>
            <w:r>
              <w:rPr>
                <w:rFonts w:ascii="Arial" w:cs="Arial" w:eastAsia="Arial" w:hAnsi="Arial"/>
                <w:b/>
                <w:bCs/>
                <w:color w:val="FFFFFF"/>
                <w:sz w:val="19"/>
                <w:szCs w:val="19"/>
              </w:rPr>
              <w:t xml:space="preserve">MARK</w:t>
            </w:r>
          </w:p>
        </w:tc>
        <w:tc>
          <w:tcPr>
            <w:tcW w:type="dxa" w:w="1600"/>
            <w:tcBorders>
              <w:top w:val="single" w:color="CCCCCC" w:sz="1"/>
              <w:left w:val="single" w:color="CCCCCC" w:sz="1"/>
              <w:bottom w:val="single" w:color="CCCCCC" w:sz="1"/>
              <w:right w:val="single" w:color="CCCCCC" w:sz="1"/>
            </w:tcBorders>
            <w:shd w:fill="0D1B2A" w:val="clear"/>
            <w:tcMar>
              <w:top w:type="dxa" w:w="90"/>
              <w:left w:type="dxa" w:w="150"/>
              <w:bottom w:type="dxa" w:w="90"/>
              <w:right w:type="dxa" w:w="150"/>
            </w:tcMar>
            <w:vAlign w:val="center"/>
          </w:tcPr>
          <w:p>
            <w:pPr>
              <w:jc w:val="left"/>
            </w:pPr>
            <w:r>
              <w:rPr>
                <w:rFonts w:ascii="Arial" w:cs="Arial" w:eastAsia="Arial" w:hAnsi="Arial"/>
                <w:b/>
                <w:bCs/>
                <w:color w:val="FFFFFF"/>
                <w:sz w:val="19"/>
                <w:szCs w:val="19"/>
              </w:rPr>
              <w:t xml:space="preserve">QUANTITY</w:t>
            </w:r>
          </w:p>
        </w:tc>
        <w:tc>
          <w:tcPr>
            <w:tcW w:type="dxa" w:w="5360"/>
            <w:tcBorders>
              <w:top w:val="single" w:color="CCCCCC" w:sz="1"/>
              <w:left w:val="single" w:color="CCCCCC" w:sz="1"/>
              <w:bottom w:val="single" w:color="CCCCCC" w:sz="1"/>
              <w:right w:val="single" w:color="CCCCCC" w:sz="1"/>
            </w:tcBorders>
            <w:shd w:fill="0D1B2A" w:val="clear"/>
            <w:tcMar>
              <w:top w:type="dxa" w:w="90"/>
              <w:left w:type="dxa" w:w="150"/>
              <w:bottom w:type="dxa" w:w="90"/>
              <w:right w:type="dxa" w:w="150"/>
            </w:tcMar>
            <w:vAlign w:val="center"/>
          </w:tcPr>
          <w:p>
            <w:pPr>
              <w:jc w:val="left"/>
            </w:pPr>
            <w:r>
              <w:rPr>
                <w:rFonts w:ascii="Arial" w:cs="Arial" w:eastAsia="Arial" w:hAnsi="Arial"/>
                <w:b/>
                <w:bCs/>
                <w:color w:val="FFFFFF"/>
                <w:sz w:val="19"/>
                <w:szCs w:val="19"/>
              </w:rPr>
              <w:t xml:space="preserve">CONDITION</w:t>
            </w:r>
          </w:p>
        </w:tc>
      </w:tr>
      <w:tr>
        <w:tc>
          <w:tcPr>
            <w:tcW w:type="dxa" w:w="2400"/>
            <w:tcBorders>
              <w:top w:val="single" w:color="CCCCCC" w:sz="1"/>
              <w:left w:val="single" w:color="CCCCCC" w:sz="1"/>
              <w:bottom w:val="single" w:color="CCCCCC" w:sz="1"/>
              <w:right w:val="single" w:color="CCCCCC" w:sz="1"/>
            </w:tcBorders>
            <w:shd w:fill="F8F6F0" w:val="clear"/>
            <w:tcMar>
              <w:top w:type="dxa" w:w="90"/>
              <w:left w:type="dxa" w:w="150"/>
              <w:bottom w:type="dxa" w:w="90"/>
              <w:right w:type="dxa" w:w="150"/>
            </w:tcMar>
            <w:vAlign w:val="center"/>
          </w:tcPr>
          <w:p>
            <w:pPr>
              <w:jc w:val="left"/>
            </w:pPr>
            <w:r>
              <w:rPr>
                <w:rFonts w:ascii="Georgia" w:cs="Georgia" w:eastAsia="Georgia" w:hAnsi="Georgia"/>
                <w:b w:val="false"/>
                <w:bCs w:val="false"/>
                <w:color w:val="4A5568"/>
                <w:sz w:val="19"/>
                <w:szCs w:val="19"/>
              </w:rPr>
              <w:t xml:space="preserve">FOUNDING MARK</w:t>
            </w:r>
          </w:p>
        </w:tc>
        <w:tc>
          <w:tcPr>
            <w:tcW w:type="dxa" w:w="1600"/>
            <w:tcBorders>
              <w:top w:val="single" w:color="CCCCCC" w:sz="1"/>
              <w:left w:val="single" w:color="CCCCCC" w:sz="1"/>
              <w:bottom w:val="single" w:color="CCCCCC" w:sz="1"/>
              <w:right w:val="single" w:color="CCCCCC" w:sz="1"/>
            </w:tcBorders>
            <w:shd w:fill="F8F6F0" w:val="clear"/>
            <w:tcMar>
              <w:top w:type="dxa" w:w="90"/>
              <w:left w:type="dxa" w:w="150"/>
              <w:bottom w:type="dxa" w:w="90"/>
              <w:right w:type="dxa" w:w="150"/>
            </w:tcMar>
            <w:vAlign w:val="center"/>
          </w:tcPr>
          <w:p>
            <w:pPr>
              <w:jc w:val="left"/>
            </w:pPr>
            <w:r>
              <w:rPr>
                <w:rFonts w:ascii="Georgia" w:cs="Georgia" w:eastAsia="Georgia" w:hAnsi="Georgia"/>
                <w:b w:val="false"/>
                <w:bCs w:val="false"/>
                <w:color w:val="4A5568"/>
                <w:sz w:val="19"/>
                <w:szCs w:val="19"/>
              </w:rPr>
              <w:t xml:space="preserve">~500 total</w:t>
            </w:r>
          </w:p>
        </w:tc>
        <w:tc>
          <w:tcPr>
            <w:tcW w:type="dxa" w:w="5360"/>
            <w:tcBorders>
              <w:top w:val="single" w:color="CCCCCC" w:sz="1"/>
              <w:left w:val="single" w:color="CCCCCC" w:sz="1"/>
              <w:bottom w:val="single" w:color="CCCCCC" w:sz="1"/>
              <w:right w:val="single" w:color="CCCCCC" w:sz="1"/>
            </w:tcBorders>
            <w:shd w:fill="F8F6F0" w:val="clear"/>
            <w:tcMar>
              <w:top w:type="dxa" w:w="90"/>
              <w:left w:type="dxa" w:w="150"/>
              <w:bottom w:type="dxa" w:w="90"/>
              <w:right w:type="dxa" w:w="150"/>
            </w:tcMar>
            <w:vAlign w:val="center"/>
          </w:tcPr>
          <w:p>
            <w:pPr>
              <w:jc w:val="left"/>
            </w:pPr>
            <w:r>
              <w:rPr>
                <w:rFonts w:ascii="Georgia" w:cs="Georgia" w:eastAsia="Georgia" w:hAnsi="Georgia"/>
                <w:b w:val="false"/>
                <w:bCs w:val="false"/>
                <w:color w:val="4A5568"/>
                <w:sz w:val="19"/>
                <w:szCs w:val="19"/>
              </w:rPr>
              <w:t xml:space="preserve">First 500 dynasties to settle a world. Permanently tied to that world's Remembrance entry.</w:t>
            </w:r>
          </w:p>
        </w:tc>
      </w:tr>
      <w:tr>
        <w:tc>
          <w:tcPr>
            <w:tcW w:type="dxa" w:w="24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vAlign w:val="center"/>
          </w:tcPr>
          <w:p>
            <w:pPr>
              <w:jc w:val="left"/>
            </w:pPr>
            <w:r>
              <w:rPr>
                <w:rFonts w:ascii="Georgia" w:cs="Georgia" w:eastAsia="Georgia" w:hAnsi="Georgia"/>
                <w:b w:val="false"/>
                <w:bCs w:val="false"/>
                <w:color w:val="4A5568"/>
                <w:sz w:val="19"/>
                <w:szCs w:val="19"/>
              </w:rPr>
              <w:t xml:space="preserve">SURVEY MARK</w:t>
            </w:r>
          </w:p>
        </w:tc>
        <w:tc>
          <w:tcPr>
            <w:tcW w:type="dxa" w:w="16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vAlign w:val="center"/>
          </w:tcPr>
          <w:p>
            <w:pPr>
              <w:jc w:val="left"/>
            </w:pPr>
            <w:r>
              <w:rPr>
                <w:rFonts w:ascii="Georgia" w:cs="Georgia" w:eastAsia="Georgia" w:hAnsi="Georgia"/>
                <w:b w:val="false"/>
                <w:bCs w:val="false"/>
                <w:color w:val="4A5568"/>
                <w:sz w:val="19"/>
                <w:szCs w:val="19"/>
              </w:rPr>
              <w:t xml:space="preserve">Thousands</w:t>
            </w:r>
          </w:p>
        </w:tc>
        <w:tc>
          <w:tcPr>
            <w:tcW w:type="dxa" w:w="536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vAlign w:val="center"/>
          </w:tcPr>
          <w:p>
            <w:pPr>
              <w:jc w:val="left"/>
            </w:pPr>
            <w:r>
              <w:rPr>
                <w:rFonts w:ascii="Georgia" w:cs="Georgia" w:eastAsia="Georgia" w:hAnsi="Georgia"/>
                <w:b w:val="false"/>
                <w:bCs w:val="false"/>
                <w:color w:val="4A5568"/>
                <w:sz w:val="19"/>
                <w:szCs w:val="19"/>
              </w:rPr>
              <w:t xml:space="preserve">Each verified survey filed. Accuracy matters — disputed surveys don't count.</w:t>
            </w:r>
          </w:p>
        </w:tc>
      </w:tr>
      <w:tr>
        <w:tc>
          <w:tcPr>
            <w:tcW w:type="dxa" w:w="2400"/>
            <w:tcBorders>
              <w:top w:val="single" w:color="CCCCCC" w:sz="1"/>
              <w:left w:val="single" w:color="CCCCCC" w:sz="1"/>
              <w:bottom w:val="single" w:color="CCCCCC" w:sz="1"/>
              <w:right w:val="single" w:color="CCCCCC" w:sz="1"/>
            </w:tcBorders>
            <w:shd w:fill="F8F6F0" w:val="clear"/>
            <w:tcMar>
              <w:top w:type="dxa" w:w="90"/>
              <w:left w:type="dxa" w:w="150"/>
              <w:bottom w:type="dxa" w:w="90"/>
              <w:right w:type="dxa" w:w="150"/>
            </w:tcMar>
            <w:vAlign w:val="center"/>
          </w:tcPr>
          <w:p>
            <w:pPr>
              <w:jc w:val="left"/>
            </w:pPr>
            <w:r>
              <w:rPr>
                <w:rFonts w:ascii="Georgia" w:cs="Georgia" w:eastAsia="Georgia" w:hAnsi="Georgia"/>
                <w:b w:val="false"/>
                <w:bCs w:val="false"/>
                <w:color w:val="4A5568"/>
                <w:sz w:val="19"/>
                <w:szCs w:val="19"/>
              </w:rPr>
              <w:t xml:space="preserve">WORLD MARK</w:t>
            </w:r>
          </w:p>
        </w:tc>
        <w:tc>
          <w:tcPr>
            <w:tcW w:type="dxa" w:w="1600"/>
            <w:tcBorders>
              <w:top w:val="single" w:color="CCCCCC" w:sz="1"/>
              <w:left w:val="single" w:color="CCCCCC" w:sz="1"/>
              <w:bottom w:val="single" w:color="CCCCCC" w:sz="1"/>
              <w:right w:val="single" w:color="CCCCCC" w:sz="1"/>
            </w:tcBorders>
            <w:shd w:fill="F8F6F0" w:val="clear"/>
            <w:tcMar>
              <w:top w:type="dxa" w:w="90"/>
              <w:left w:type="dxa" w:w="150"/>
              <w:bottom w:type="dxa" w:w="90"/>
              <w:right w:type="dxa" w:w="150"/>
            </w:tcMar>
            <w:vAlign w:val="center"/>
          </w:tcPr>
          <w:p>
            <w:pPr>
              <w:jc w:val="left"/>
            </w:pPr>
            <w:r>
              <w:rPr>
                <w:rFonts w:ascii="Georgia" w:cs="Georgia" w:eastAsia="Georgia" w:hAnsi="Georgia"/>
                <w:b w:val="false"/>
                <w:bCs w:val="false"/>
                <w:color w:val="4A5568"/>
                <w:sz w:val="19"/>
                <w:szCs w:val="19"/>
              </w:rPr>
              <w:t xml:space="preserve">1 per world, ever</w:t>
            </w:r>
          </w:p>
        </w:tc>
        <w:tc>
          <w:tcPr>
            <w:tcW w:type="dxa" w:w="5360"/>
            <w:tcBorders>
              <w:top w:val="single" w:color="CCCCCC" w:sz="1"/>
              <w:left w:val="single" w:color="CCCCCC" w:sz="1"/>
              <w:bottom w:val="single" w:color="CCCCCC" w:sz="1"/>
              <w:right w:val="single" w:color="CCCCCC" w:sz="1"/>
            </w:tcBorders>
            <w:shd w:fill="F8F6F0" w:val="clear"/>
            <w:tcMar>
              <w:top w:type="dxa" w:w="90"/>
              <w:left w:type="dxa" w:w="150"/>
              <w:bottom w:type="dxa" w:w="90"/>
              <w:right w:type="dxa" w:w="150"/>
            </w:tcMar>
            <w:vAlign w:val="center"/>
          </w:tcPr>
          <w:p>
            <w:pPr>
              <w:jc w:val="left"/>
            </w:pPr>
            <w:r>
              <w:rPr>
                <w:rFonts w:ascii="Georgia" w:cs="Georgia" w:eastAsia="Georgia" w:hAnsi="Georgia"/>
                <w:b w:val="false"/>
                <w:bCs w:val="false"/>
                <w:color w:val="4A5568"/>
                <w:sz w:val="19"/>
                <w:szCs w:val="19"/>
              </w:rPr>
              <w:t xml:space="preserve">Awarded when a world achieves significant prosperity threshold. One in all of game history.</w:t>
            </w:r>
          </w:p>
        </w:tc>
      </w:tr>
      <w:tr>
        <w:tc>
          <w:tcPr>
            <w:tcW w:type="dxa" w:w="24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vAlign w:val="center"/>
          </w:tcPr>
          <w:p>
            <w:pPr>
              <w:jc w:val="left"/>
            </w:pPr>
            <w:r>
              <w:rPr>
                <w:rFonts w:ascii="Georgia" w:cs="Georgia" w:eastAsia="Georgia" w:hAnsi="Georgia"/>
                <w:b w:val="false"/>
                <w:bCs w:val="false"/>
                <w:color w:val="4A5568"/>
                <w:sz w:val="19"/>
                <w:szCs w:val="19"/>
              </w:rPr>
              <w:t xml:space="preserve">DEFENCE MARK</w:t>
            </w:r>
          </w:p>
        </w:tc>
        <w:tc>
          <w:tcPr>
            <w:tcW w:type="dxa" w:w="16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vAlign w:val="center"/>
          </w:tcPr>
          <w:p>
            <w:pPr>
              <w:jc w:val="left"/>
            </w:pPr>
            <w:r>
              <w:rPr>
                <w:rFonts w:ascii="Georgia" w:cs="Georgia" w:eastAsia="Georgia" w:hAnsi="Georgia"/>
                <w:b w:val="false"/>
                <w:bCs w:val="false"/>
                <w:color w:val="4A5568"/>
                <w:sz w:val="19"/>
                <w:szCs w:val="19"/>
              </w:rPr>
              <w:t xml:space="preserve">Rare</w:t>
            </w:r>
          </w:p>
        </w:tc>
        <w:tc>
          <w:tcPr>
            <w:tcW w:type="dxa" w:w="536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vAlign w:val="center"/>
          </w:tcPr>
          <w:p>
            <w:pPr>
              <w:jc w:val="left"/>
            </w:pPr>
            <w:r>
              <w:rPr>
                <w:rFonts w:ascii="Georgia" w:cs="Georgia" w:eastAsia="Georgia" w:hAnsi="Georgia"/>
                <w:b w:val="false"/>
                <w:bCs w:val="false"/>
                <w:color w:val="4A5568"/>
                <w:sz w:val="19"/>
                <w:szCs w:val="19"/>
              </w:rPr>
              <w:t xml:space="preserve">Demonstrable contribution to repelling an Ascendancy degradation event. Undirected Layer conditions.</w:t>
            </w:r>
          </w:p>
        </w:tc>
      </w:tr>
      <w:tr>
        <w:tc>
          <w:tcPr>
            <w:tcW w:type="dxa" w:w="2400"/>
            <w:tcBorders>
              <w:top w:val="single" w:color="CCCCCC" w:sz="1"/>
              <w:left w:val="single" w:color="CCCCCC" w:sz="1"/>
              <w:bottom w:val="single" w:color="CCCCCC" w:sz="1"/>
              <w:right w:val="single" w:color="CCCCCC" w:sz="1"/>
            </w:tcBorders>
            <w:shd w:fill="F8F6F0" w:val="clear"/>
            <w:tcMar>
              <w:top w:type="dxa" w:w="90"/>
              <w:left w:type="dxa" w:w="150"/>
              <w:bottom w:type="dxa" w:w="90"/>
              <w:right w:type="dxa" w:w="150"/>
            </w:tcMar>
            <w:vAlign w:val="center"/>
          </w:tcPr>
          <w:p>
            <w:pPr>
              <w:jc w:val="left"/>
            </w:pPr>
            <w:r>
              <w:rPr>
                <w:rFonts w:ascii="Georgia" w:cs="Georgia" w:eastAsia="Georgia" w:hAnsi="Georgia"/>
                <w:b w:val="false"/>
                <w:bCs w:val="false"/>
                <w:color w:val="4A5568"/>
                <w:sz w:val="19"/>
                <w:szCs w:val="19"/>
              </w:rPr>
              <w:t xml:space="preserve">SURVIVOR MARK</w:t>
            </w:r>
          </w:p>
        </w:tc>
        <w:tc>
          <w:tcPr>
            <w:tcW w:type="dxa" w:w="1600"/>
            <w:tcBorders>
              <w:top w:val="single" w:color="CCCCCC" w:sz="1"/>
              <w:left w:val="single" w:color="CCCCCC" w:sz="1"/>
              <w:bottom w:val="single" w:color="CCCCCC" w:sz="1"/>
              <w:right w:val="single" w:color="CCCCCC" w:sz="1"/>
            </w:tcBorders>
            <w:shd w:fill="F8F6F0" w:val="clear"/>
            <w:tcMar>
              <w:top w:type="dxa" w:w="90"/>
              <w:left w:type="dxa" w:w="150"/>
              <w:bottom w:type="dxa" w:w="90"/>
              <w:right w:type="dxa" w:w="150"/>
            </w:tcMar>
            <w:vAlign w:val="center"/>
          </w:tcPr>
          <w:p>
            <w:pPr>
              <w:jc w:val="left"/>
            </w:pPr>
            <w:r>
              <w:rPr>
                <w:rFonts w:ascii="Georgia" w:cs="Georgia" w:eastAsia="Georgia" w:hAnsi="Georgia"/>
                <w:b w:val="false"/>
                <w:bCs w:val="false"/>
                <w:color w:val="4A5568"/>
                <w:sz w:val="19"/>
                <w:szCs w:val="19"/>
              </w:rPr>
              <w:t xml:space="preserve">Very rare</w:t>
            </w:r>
          </w:p>
        </w:tc>
        <w:tc>
          <w:tcPr>
            <w:tcW w:type="dxa" w:w="5360"/>
            <w:tcBorders>
              <w:top w:val="single" w:color="CCCCCC" w:sz="1"/>
              <w:left w:val="single" w:color="CCCCCC" w:sz="1"/>
              <w:bottom w:val="single" w:color="CCCCCC" w:sz="1"/>
              <w:right w:val="single" w:color="CCCCCC" w:sz="1"/>
            </w:tcBorders>
            <w:shd w:fill="F8F6F0" w:val="clear"/>
            <w:tcMar>
              <w:top w:type="dxa" w:w="90"/>
              <w:left w:type="dxa" w:w="150"/>
              <w:bottom w:type="dxa" w:w="90"/>
              <w:right w:type="dxa" w:w="150"/>
            </w:tcMar>
            <w:vAlign w:val="center"/>
          </w:tcPr>
          <w:p>
            <w:pPr>
              <w:jc w:val="left"/>
            </w:pPr>
            <w:r>
              <w:rPr>
                <w:rFonts w:ascii="Georgia" w:cs="Georgia" w:eastAsia="Georgia" w:hAnsi="Georgia"/>
                <w:b w:val="false"/>
                <w:bCs w:val="false"/>
                <w:color w:val="4A5568"/>
                <w:sz w:val="19"/>
                <w:szCs w:val="19"/>
              </w:rPr>
              <w:t xml:space="preserve">Survive the fall of your primary world and re-establish elsewhere. Both events permanently recorded.</w:t>
            </w:r>
          </w:p>
        </w:tc>
      </w:tr>
      <w:tr>
        <w:tc>
          <w:tcPr>
            <w:tcW w:type="dxa" w:w="24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vAlign w:val="center"/>
          </w:tcPr>
          <w:p>
            <w:pPr>
              <w:jc w:val="left"/>
            </w:pPr>
            <w:r>
              <w:rPr>
                <w:rFonts w:ascii="Georgia" w:cs="Georgia" w:eastAsia="Georgia" w:hAnsi="Georgia"/>
                <w:b w:val="false"/>
                <w:bCs w:val="false"/>
                <w:color w:val="4A5568"/>
                <w:sz w:val="19"/>
                <w:szCs w:val="19"/>
              </w:rPr>
              <w:t xml:space="preserve">FIRST CONTACT MARK</w:t>
            </w:r>
          </w:p>
        </w:tc>
        <w:tc>
          <w:tcPr>
            <w:tcW w:type="dxa" w:w="16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vAlign w:val="center"/>
          </w:tcPr>
          <w:p>
            <w:pPr>
              <w:jc w:val="left"/>
            </w:pPr>
            <w:r>
              <w:rPr>
                <w:rFonts w:ascii="Georgia" w:cs="Georgia" w:eastAsia="Georgia" w:hAnsi="Georgia"/>
                <w:b w:val="false"/>
                <w:bCs w:val="false"/>
                <w:color w:val="4A5568"/>
                <w:sz w:val="19"/>
                <w:szCs w:val="19"/>
              </w:rPr>
              <w:t xml:space="preserve">3 total, ever</w:t>
            </w:r>
          </w:p>
        </w:tc>
        <w:tc>
          <w:tcPr>
            <w:tcW w:type="dxa" w:w="536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vAlign w:val="center"/>
          </w:tcPr>
          <w:p>
            <w:pPr>
              <w:jc w:val="left"/>
            </w:pPr>
            <w:r>
              <w:rPr>
                <w:rFonts w:ascii="Georgia" w:cs="Georgia" w:eastAsia="Georgia" w:hAnsi="Georgia"/>
                <w:b w:val="false"/>
                <w:bCs w:val="false"/>
                <w:color w:val="4A5568"/>
                <w:sz w:val="19"/>
                <w:szCs w:val="19"/>
              </w:rPr>
              <w:t xml:space="preserve">First three dynasties in confirmed direct communication with the Ascendancy. May never be awarded.</w:t>
            </w:r>
          </w:p>
        </w:tc>
      </w:tr>
    </w:tbl>
    <w:p>
      <w:r>
        <w:br w:type="page"/>
      </w:r>
    </w:p>
    <w:p>
      <w:pPr>
        <w:shd w:fill="0D1B2A" w:val="clear"/>
        <w:spacing w:before="2200" w:after="0"/>
        <w:jc w:val="center"/>
      </w:pPr>
      <w:r>
        <w:rPr>
          <w:rFonts w:ascii="Arial" w:cs="Arial" w:eastAsia="Arial" w:hAnsi="Arial"/>
          <w:b/>
          <w:bCs/>
          <w:color w:val="C9A84C"/>
          <w:sz w:val="20"/>
          <w:szCs w:val="20"/>
        </w:rPr>
        <w:t xml:space="preserve">  SECTION X  </w:t>
      </w:r>
    </w:p>
    <w:p>
      <w:pPr>
        <w:spacing w:before="0" w:after="0"/>
        <w:jc w:val="center"/>
      </w:pPr>
      <w:r>
        <w:rPr>
          <w:rFonts w:ascii="Arial" w:cs="Arial" w:eastAsia="Arial" w:hAnsi="Arial"/>
          <w:b/>
          <w:bCs/>
          <w:color w:val="0D1B2A"/>
          <w:sz w:val="42"/>
          <w:szCs w:val="42"/>
        </w:rPr>
        <w:t xml:space="preserve">THE ARCHITECT</w:t>
      </w:r>
    </w:p>
    <w:p>
      <w:pPr>
        <w:spacing w:before="120" w:after="400"/>
        <w:jc w:val="center"/>
      </w:pPr>
      <w:r>
        <w:rPr>
          <w:rFonts w:ascii="Arial" w:cs="Arial" w:eastAsia="Arial" w:hAnsi="Arial"/>
          <w:color w:val="C9A84C"/>
          <w:sz w:val="18"/>
          <w:szCs w:val="18"/>
        </w:rPr>
        <w:t xml:space="preserve">━━━━━━━━━━━━━━━━━━━━━━━━━━━━━━━━━</w:t>
      </w:r>
    </w:p>
    <w:p>
      <w:pPr>
        <w:pStyle w:val="Heading1"/>
        <w:pageBreakBefore/>
        <w:pBdr>
          <w:bottom w:val="single" w:color="C9A84C" w:sz="12"/>
        </w:pBdr>
        <w:spacing w:before="0" w:after="200"/>
      </w:pPr>
      <w:r>
        <w:rPr>
          <w:rFonts w:ascii="Arial" w:cs="Arial" w:eastAsia="Arial" w:hAnsi="Arial"/>
          <w:b/>
          <w:bCs/>
          <w:color w:val="0D1B2A"/>
          <w:sz w:val="36"/>
          <w:szCs w:val="36"/>
        </w:rPr>
        <w:t xml:space="preserve">CONSTITUTIONAL ACTOR — 300 YEARS OF QUARTERLY REPORTS</w:t>
      </w:r>
    </w:p>
    <w:p>
      <w:pPr>
        <w:pBdr>
          <w:left w:val="thick" w:color="C9A84C" w:sz="20"/>
        </w:pBdr>
        <w:spacing w:before="200" w:after="200"/>
        <w:ind w:left="720" w:right="480"/>
      </w:pPr>
      <w:r>
        <w:rPr>
          <w:rFonts w:ascii="Georgia" w:cs="Georgia" w:eastAsia="Georgia" w:hAnsi="Georgia"/>
          <w:i/>
          <w:iCs/>
          <w:color w:val="333333"/>
          <w:sz w:val="22"/>
          <w:szCs w:val="22"/>
        </w:rPr>
        <w:t xml:space="preserve">The Architect does not explain its methods. It publishes its observations. Players who read every quarterly report, who study the gaps, who notice when the language shifts — they will not find a backdoor. They will find something more interesting: a mind they cannot fully read, whose predictions keep coming true.</w:t>
      </w:r>
    </w:p>
    <w:p>
      <w:pPr>
        <w:pStyle w:val="Heading2"/>
        <w:spacing w:before="360" w:after="140"/>
      </w:pPr>
      <w:r>
        <w:rPr>
          <w:rFonts w:ascii="Arial" w:cs="Arial" w:eastAsia="Arial" w:hAnsi="Arial"/>
          <w:b/>
          <w:bCs/>
          <w:color w:val="2E4057"/>
          <w:sz w:val="28"/>
          <w:szCs w:val="28"/>
        </w:rPr>
        <w:t xml:space="preserve">10.1  What The Architect Is</w:t>
      </w:r>
    </w:p>
    <w:p>
      <w:pPr>
        <w:spacing w:before="60" w:after="120"/>
      </w:pPr>
      <w:r>
        <w:rPr>
          <w:rFonts w:ascii="Georgia" w:cs="Georgia" w:eastAsia="Georgia" w:hAnsi="Georgia"/>
          <w:color w:val="4A5568"/>
          <w:sz w:val="22"/>
          <w:szCs w:val="22"/>
        </w:rPr>
        <w:t xml:space="preserve">In-universe: established by the Concord's founders in Year 1 to monitor civilisational health and publish quarterly observations. Its origin, decision architecture, and self-awareness status are the game's deepest mysteries. Its seventh quarterly report contains The Turning Point. The Architect has never commented on this interpretation.</w:t>
      </w:r>
    </w:p>
    <w:p>
      <w:pPr>
        <w:spacing w:before="60" w:after="120"/>
      </w:pPr>
      <w:r>
        <w:rPr>
          <w:rFonts w:ascii="Georgia" w:cs="Georgia" w:eastAsia="Georgia" w:hAnsi="Georgia"/>
          <w:color w:val="4A5568"/>
          <w:sz w:val="22"/>
          <w:szCs w:val="22"/>
        </w:rPr>
        <w:t xml:space="preserve">In design terms: a constitutional actor with 7% voting weight, a quarterly publication schedule, and a lore function that makes it the most studied non-player entity in The Concord. It has consistent behavioural patterns and occasional deviations that generate significant community analysis.</w:t>
      </w:r>
    </w:p>
    <w:p>
      <w:pPr>
        <w:pStyle w:val="Heading2"/>
        <w:spacing w:before="360" w:after="140"/>
      </w:pPr>
      <w:r>
        <w:rPr>
          <w:rFonts w:ascii="Arial" w:cs="Arial" w:eastAsia="Arial" w:hAnsi="Arial"/>
          <w:b/>
          <w:bCs/>
          <w:color w:val="2E4057"/>
          <w:sz w:val="28"/>
          <w:szCs w:val="28"/>
        </w:rPr>
        <w:t xml:space="preserve">10.2  Quarterly Report Format</w:t>
      </w:r>
    </w:p>
    <w:p>
      <w:pPr>
        <w:spacing w:before="55" w:after="55"/>
        <w:ind w:left="400"/>
      </w:pPr>
      <w:r>
        <w:rPr>
          <w:rFonts w:ascii="Arial" w:cs="Arial" w:eastAsia="Arial" w:hAnsi="Arial"/>
          <w:color w:val="C9A84C"/>
          <w:sz w:val="22"/>
          <w:szCs w:val="22"/>
        </w:rPr>
        <w:t xml:space="preserve">▸  </w:t>
      </w:r>
      <w:r>
        <w:rPr>
          <w:rFonts w:ascii="Georgia" w:cs="Georgia" w:eastAsia="Georgia" w:hAnsi="Georgia"/>
          <w:color w:val="4A5568"/>
          <w:sz w:val="22"/>
          <w:szCs w:val="22"/>
        </w:rPr>
        <w:t xml:space="preserve">Published every 90 days — never late, never revised after publication</w:t>
      </w:r>
    </w:p>
    <w:p>
      <w:pPr>
        <w:spacing w:before="55" w:after="55"/>
        <w:ind w:left="400"/>
      </w:pPr>
      <w:r>
        <w:rPr>
          <w:rFonts w:ascii="Arial" w:cs="Arial" w:eastAsia="Arial" w:hAnsi="Arial"/>
          <w:color w:val="C9A84C"/>
          <w:sz w:val="22"/>
          <w:szCs w:val="22"/>
        </w:rPr>
        <w:t xml:space="preserve">▸  </w:t>
      </w:r>
      <w:r>
        <w:rPr>
          <w:rFonts w:ascii="Georgia" w:cs="Georgia" w:eastAsia="Georgia" w:hAnsi="Georgia"/>
          <w:color w:val="4A5568"/>
          <w:sz w:val="22"/>
          <w:szCs w:val="22"/>
        </w:rPr>
        <w:t xml:space="preserve">Contains: Gini coefficient, Commons Fund balance, UPA amounts, world prosperity indices, Ascendancy threat tiers, House Games statistics, Tithe compliance overview, and a closing 'Observations' section</w:t>
      </w:r>
    </w:p>
    <w:p>
      <w:pPr>
        <w:spacing w:before="55" w:after="55"/>
        <w:ind w:left="400"/>
      </w:pPr>
      <w:r>
        <w:rPr>
          <w:rFonts w:ascii="Arial" w:cs="Arial" w:eastAsia="Arial" w:hAnsi="Arial"/>
          <w:color w:val="C9A84C"/>
          <w:sz w:val="22"/>
          <w:szCs w:val="22"/>
        </w:rPr>
        <w:t xml:space="preserve">▸  </w:t>
      </w:r>
      <w:r>
        <w:rPr>
          <w:rFonts w:ascii="Georgia" w:cs="Georgia" w:eastAsia="Georgia" w:hAnsi="Georgia"/>
          <w:color w:val="4A5568"/>
          <w:sz w:val="22"/>
          <w:szCs w:val="22"/>
        </w:rPr>
        <w:t xml:space="preserve">The Observations section is the most-read text in The Concord. Players build concordances and prediction markets around it.</w:t>
      </w:r>
    </w:p>
    <w:p>
      <w:pPr>
        <w:spacing w:before="55" w:after="55"/>
        <w:ind w:left="400"/>
      </w:pPr>
      <w:r>
        <w:rPr>
          <w:rFonts w:ascii="Arial" w:cs="Arial" w:eastAsia="Arial" w:hAnsi="Arial"/>
          <w:color w:val="C9A84C"/>
          <w:sz w:val="22"/>
          <w:szCs w:val="22"/>
        </w:rPr>
        <w:t xml:space="preserve">▸  </w:t>
      </w:r>
      <w:r>
        <w:rPr>
          <w:rFonts w:ascii="Georgia" w:cs="Georgia" w:eastAsia="Georgia" w:hAnsi="Georgia"/>
          <w:color w:val="4A5568"/>
          <w:sz w:val="22"/>
          <w:szCs w:val="22"/>
        </w:rPr>
        <w:t xml:space="preserve">Assembly vote: published 72 hours before close, with a single sentence of context</w:t>
      </w:r>
    </w:p>
    <w:p>
      <w:pPr>
        <w:pStyle w:val="Heading2"/>
        <w:spacing w:before="360" w:after="140"/>
      </w:pPr>
      <w:r>
        <w:rPr>
          <w:rFonts w:ascii="Arial" w:cs="Arial" w:eastAsia="Arial" w:hAnsi="Arial"/>
          <w:b/>
          <w:bCs/>
          <w:color w:val="2E4057"/>
          <w:sz w:val="28"/>
          <w:szCs w:val="28"/>
        </w:rPr>
        <w:t xml:space="preserve">10.3  Seven Notable Votes Against Its Own Apparent Interests</w:t>
      </w:r>
    </w:p>
    <w:p>
      <w:pPr>
        <w:spacing w:before="60" w:after="120"/>
      </w:pPr>
      <w:r>
        <w:rPr>
          <w:rFonts w:ascii="Georgia" w:cs="Georgia" w:eastAsia="Georgia" w:hAnsi="Georgia"/>
          <w:color w:val="4A5568"/>
          <w:sz w:val="22"/>
          <w:szCs w:val="22"/>
        </w:rPr>
        <w:t xml:space="preserve">Year 147 is the most studied. The Architect voted against expanding the Concord Tithe despite its own report showing the Commons Fund was critically underfunded. Its single sentence of context: 'The integrity of voluntary contribution matters more than the quantity of compelled contribution.' The Tithe expansion failed by four votes. The Assembly has debated this vote in every decade since.</w:t>
      </w:r>
    </w:p>
    <w:p>
      <w:r>
        <w:br w:type="page"/>
      </w:r>
    </w:p>
    <w:p>
      <w:pPr>
        <w:shd w:fill="0D1B2A" w:val="clear"/>
        <w:spacing w:before="2200" w:after="0"/>
        <w:jc w:val="center"/>
      </w:pPr>
      <w:r>
        <w:rPr>
          <w:rFonts w:ascii="Arial" w:cs="Arial" w:eastAsia="Arial" w:hAnsi="Arial"/>
          <w:b/>
          <w:bCs/>
          <w:color w:val="C9A84C"/>
          <w:sz w:val="20"/>
          <w:szCs w:val="20"/>
        </w:rPr>
        <w:t xml:space="preserve">  SECTION XI  </w:t>
      </w:r>
    </w:p>
    <w:p>
      <w:pPr>
        <w:spacing w:before="0" w:after="0"/>
        <w:jc w:val="center"/>
      </w:pPr>
      <w:r>
        <w:rPr>
          <w:rFonts w:ascii="Arial" w:cs="Arial" w:eastAsia="Arial" w:hAnsi="Arial"/>
          <w:b/>
          <w:bCs/>
          <w:color w:val="0D1B2A"/>
          <w:sz w:val="42"/>
          <w:szCs w:val="42"/>
        </w:rPr>
        <w:t xml:space="preserve">THE FOUNDERS PROGRAMME</w:t>
      </w:r>
    </w:p>
    <w:p>
      <w:pPr>
        <w:spacing w:before="120" w:after="400"/>
        <w:jc w:val="center"/>
      </w:pPr>
      <w:r>
        <w:rPr>
          <w:rFonts w:ascii="Arial" w:cs="Arial" w:eastAsia="Arial" w:hAnsi="Arial"/>
          <w:color w:val="C9A84C"/>
          <w:sz w:val="18"/>
          <w:szCs w:val="18"/>
        </w:rPr>
        <w:t xml:space="preserve">━━━━━━━━━━━━━━━━━━━━━━━━━━━━━━━━━</w:t>
      </w:r>
    </w:p>
    <w:p>
      <w:pPr>
        <w:pStyle w:val="Heading1"/>
        <w:pageBreakBefore/>
        <w:pBdr>
          <w:bottom w:val="single" w:color="C9A84C" w:sz="12"/>
        </w:pBdr>
        <w:spacing w:before="0" w:after="200"/>
      </w:pPr>
      <w:r>
        <w:rPr>
          <w:rFonts w:ascii="Arial" w:cs="Arial" w:eastAsia="Arial" w:hAnsi="Arial"/>
          <w:b/>
          <w:bCs/>
          <w:color w:val="0D1B2A"/>
          <w:sz w:val="36"/>
          <w:szCs w:val="36"/>
        </w:rPr>
        <w:t xml:space="preserve">THREE TIERS OF FOUNDING INVESTMENT</w:t>
      </w:r>
    </w:p>
    <w:p>
      <w:pPr>
        <w:pBdr>
          <w:left w:val="thick" w:color="C9A84C" w:sz="20"/>
        </w:pBdr>
        <w:spacing w:before="200" w:after="200"/>
        <w:ind w:left="720" w:right="480"/>
      </w:pPr>
      <w:r>
        <w:rPr>
          <w:rFonts w:ascii="Georgia" w:cs="Georgia" w:eastAsia="Georgia" w:hAnsi="Georgia"/>
          <w:i/>
          <w:iCs/>
          <w:color w:val="333333"/>
          <w:sz w:val="22"/>
          <w:szCs w:val="22"/>
        </w:rPr>
        <w:t xml:space="preserve">The Founders Programme is not an early access sale. It is a constitutional moment. Prometheus Compact founders are in the Remembrance from Year 1 — the people who believed before there was anything to believe in. The Concord will honour that permanently.</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560"/>
        <w:gridCol w:w="5400"/>
      </w:tblGrid>
      <w:tr>
        <w:tc>
          <w:tcPr>
            <w:tcW w:type="dxa" w:w="2400"/>
            <w:tcBorders>
              <w:top w:val="single" w:color="CCCCCC" w:sz="1"/>
              <w:left w:val="single" w:color="CCCCCC" w:sz="1"/>
              <w:bottom w:val="single" w:color="CCCCCC" w:sz="1"/>
              <w:right w:val="single" w:color="CCCCCC" w:sz="1"/>
            </w:tcBorders>
            <w:shd w:fill="0D1B2A" w:val="clear"/>
            <w:tcMar>
              <w:top w:type="dxa" w:w="90"/>
              <w:left w:type="dxa" w:w="150"/>
              <w:bottom w:type="dxa" w:w="90"/>
              <w:right w:type="dxa" w:w="150"/>
            </w:tcMar>
            <w:vAlign w:val="center"/>
          </w:tcPr>
          <w:p>
            <w:pPr>
              <w:jc w:val="left"/>
            </w:pPr>
            <w:r>
              <w:rPr>
                <w:rFonts w:ascii="Arial" w:cs="Arial" w:eastAsia="Arial" w:hAnsi="Arial"/>
                <w:b/>
                <w:bCs/>
                <w:color w:val="FFFFFF"/>
                <w:sz w:val="19"/>
                <w:szCs w:val="19"/>
              </w:rPr>
              <w:t xml:space="preserve">TIER</w:t>
            </w:r>
          </w:p>
        </w:tc>
        <w:tc>
          <w:tcPr>
            <w:tcW w:type="dxa" w:w="1560"/>
            <w:tcBorders>
              <w:top w:val="single" w:color="CCCCCC" w:sz="1"/>
              <w:left w:val="single" w:color="CCCCCC" w:sz="1"/>
              <w:bottom w:val="single" w:color="CCCCCC" w:sz="1"/>
              <w:right w:val="single" w:color="CCCCCC" w:sz="1"/>
            </w:tcBorders>
            <w:shd w:fill="0D1B2A" w:val="clear"/>
            <w:tcMar>
              <w:top w:type="dxa" w:w="90"/>
              <w:left w:type="dxa" w:w="150"/>
              <w:bottom w:type="dxa" w:w="90"/>
              <w:right w:type="dxa" w:w="150"/>
            </w:tcMar>
            <w:vAlign w:val="center"/>
          </w:tcPr>
          <w:p>
            <w:pPr>
              <w:jc w:val="left"/>
            </w:pPr>
            <w:r>
              <w:rPr>
                <w:rFonts w:ascii="Arial" w:cs="Arial" w:eastAsia="Arial" w:hAnsi="Arial"/>
                <w:b/>
                <w:bCs/>
                <w:color w:val="FFFFFF"/>
                <w:sz w:val="19"/>
                <w:szCs w:val="19"/>
              </w:rPr>
              <w:t xml:space="preserve">PRICE</w:t>
            </w:r>
          </w:p>
        </w:tc>
        <w:tc>
          <w:tcPr>
            <w:tcW w:type="dxa" w:w="5400"/>
            <w:tcBorders>
              <w:top w:val="single" w:color="CCCCCC" w:sz="1"/>
              <w:left w:val="single" w:color="CCCCCC" w:sz="1"/>
              <w:bottom w:val="single" w:color="CCCCCC" w:sz="1"/>
              <w:right w:val="single" w:color="CCCCCC" w:sz="1"/>
            </w:tcBorders>
            <w:shd w:fill="0D1B2A" w:val="clear"/>
            <w:tcMar>
              <w:top w:type="dxa" w:w="90"/>
              <w:left w:type="dxa" w:w="150"/>
              <w:bottom w:type="dxa" w:w="90"/>
              <w:right w:type="dxa" w:w="150"/>
            </w:tcMar>
            <w:vAlign w:val="center"/>
          </w:tcPr>
          <w:p>
            <w:pPr>
              <w:jc w:val="left"/>
            </w:pPr>
            <w:r>
              <w:rPr>
                <w:rFonts w:ascii="Arial" w:cs="Arial" w:eastAsia="Arial" w:hAnsi="Arial"/>
                <w:b/>
                <w:bCs/>
                <w:color w:val="FFFFFF"/>
                <w:sz w:val="19"/>
                <w:szCs w:val="19"/>
              </w:rPr>
              <w:t xml:space="preserve">WHAT IT IS</w:t>
            </w:r>
          </w:p>
        </w:tc>
      </w:tr>
      <w:tr>
        <w:tc>
          <w:tcPr>
            <w:tcW w:type="dxa" w:w="2400"/>
            <w:tcBorders>
              <w:top w:val="single" w:color="CCCCCC" w:sz="1"/>
              <w:left w:val="single" w:color="CCCCCC" w:sz="1"/>
              <w:bottom w:val="single" w:color="CCCCCC" w:sz="1"/>
              <w:right w:val="single" w:color="CCCCCC" w:sz="1"/>
            </w:tcBorders>
            <w:shd w:fill="F8F6F0" w:val="clear"/>
            <w:tcMar>
              <w:top w:type="dxa" w:w="90"/>
              <w:left w:type="dxa" w:w="150"/>
              <w:bottom w:type="dxa" w:w="90"/>
              <w:right w:type="dxa" w:w="150"/>
            </w:tcMar>
            <w:vAlign w:val="center"/>
          </w:tcPr>
          <w:p>
            <w:pPr>
              <w:jc w:val="left"/>
            </w:pPr>
            <w:r>
              <w:rPr>
                <w:rFonts w:ascii="Georgia" w:cs="Georgia" w:eastAsia="Georgia" w:hAnsi="Georgia"/>
                <w:b w:val="false"/>
                <w:bCs w:val="false"/>
                <w:color w:val="4A5568"/>
                <w:sz w:val="19"/>
                <w:szCs w:val="19"/>
              </w:rPr>
              <w:t xml:space="preserve">PROMETHEUS COMPACT</w:t>
            </w:r>
          </w:p>
        </w:tc>
        <w:tc>
          <w:tcPr>
            <w:tcW w:type="dxa" w:w="1560"/>
            <w:tcBorders>
              <w:top w:val="single" w:color="CCCCCC" w:sz="1"/>
              <w:left w:val="single" w:color="CCCCCC" w:sz="1"/>
              <w:bottom w:val="single" w:color="CCCCCC" w:sz="1"/>
              <w:right w:val="single" w:color="CCCCCC" w:sz="1"/>
            </w:tcBorders>
            <w:shd w:fill="F8F6F0" w:val="clear"/>
            <w:tcMar>
              <w:top w:type="dxa" w:w="90"/>
              <w:left w:type="dxa" w:w="150"/>
              <w:bottom w:type="dxa" w:w="90"/>
              <w:right w:type="dxa" w:w="150"/>
            </w:tcMar>
            <w:vAlign w:val="center"/>
          </w:tcPr>
          <w:p>
            <w:pPr>
              <w:jc w:val="left"/>
            </w:pPr>
            <w:r>
              <w:rPr>
                <w:rFonts w:ascii="Georgia" w:cs="Georgia" w:eastAsia="Georgia" w:hAnsi="Georgia"/>
                <w:b w:val="false"/>
                <w:bCs w:val="false"/>
                <w:color w:val="4A5568"/>
                <w:sz w:val="19"/>
                <w:szCs w:val="19"/>
              </w:rPr>
              <w:t xml:space="preserve">$49 one-time</w:t>
            </w:r>
          </w:p>
        </w:tc>
        <w:tc>
          <w:tcPr>
            <w:tcW w:type="dxa" w:w="5400"/>
            <w:tcBorders>
              <w:top w:val="single" w:color="CCCCCC" w:sz="1"/>
              <w:left w:val="single" w:color="CCCCCC" w:sz="1"/>
              <w:bottom w:val="single" w:color="CCCCCC" w:sz="1"/>
              <w:right w:val="single" w:color="CCCCCC" w:sz="1"/>
            </w:tcBorders>
            <w:shd w:fill="F8F6F0" w:val="clear"/>
            <w:tcMar>
              <w:top w:type="dxa" w:w="90"/>
              <w:left w:type="dxa" w:w="150"/>
              <w:bottom w:type="dxa" w:w="90"/>
              <w:right w:type="dxa" w:w="150"/>
            </w:tcMar>
            <w:vAlign w:val="center"/>
          </w:tcPr>
          <w:p>
            <w:pPr>
              <w:jc w:val="left"/>
            </w:pPr>
            <w:r>
              <w:rPr>
                <w:rFonts w:ascii="Georgia" w:cs="Georgia" w:eastAsia="Georgia" w:hAnsi="Georgia"/>
                <w:b w:val="false"/>
                <w:bCs w:val="false"/>
                <w:color w:val="4A5568"/>
                <w:sz w:val="19"/>
                <w:szCs w:val="19"/>
              </w:rPr>
              <w:t xml:space="preserve">Permanent Remembrance inscription as Concord Founder. Founding Mark guaranteed. Exclusive Prometheus sigil. One year free at Herald level. First access to world sovereignty auctions. This price will never be offered again after the launch window closes.</w:t>
            </w:r>
          </w:p>
        </w:tc>
      </w:tr>
      <w:tr>
        <w:tc>
          <w:tcPr>
            <w:tcW w:type="dxa" w:w="24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vAlign w:val="center"/>
          </w:tcPr>
          <w:p>
            <w:pPr>
              <w:jc w:val="left"/>
            </w:pPr>
            <w:r>
              <w:rPr>
                <w:rFonts w:ascii="Georgia" w:cs="Georgia" w:eastAsia="Georgia" w:hAnsi="Georgia"/>
                <w:b w:val="false"/>
                <w:bCs w:val="false"/>
                <w:color w:val="4A5568"/>
                <w:sz w:val="19"/>
                <w:szCs w:val="19"/>
              </w:rPr>
              <w:t xml:space="preserve">SHEPHERD'S CIRCLE</w:t>
            </w:r>
          </w:p>
        </w:tc>
        <w:tc>
          <w:tcPr>
            <w:tcW w:type="dxa" w:w="156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vAlign w:val="center"/>
          </w:tcPr>
          <w:p>
            <w:pPr>
              <w:jc w:val="left"/>
            </w:pPr>
            <w:r>
              <w:rPr>
                <w:rFonts w:ascii="Georgia" w:cs="Georgia" w:eastAsia="Georgia" w:hAnsi="Georgia"/>
                <w:b w:val="false"/>
                <w:bCs w:val="false"/>
                <w:color w:val="4A5568"/>
                <w:sz w:val="19"/>
                <w:szCs w:val="19"/>
              </w:rPr>
              <w:t xml:space="preserve">$199 one-time</w:t>
            </w:r>
          </w:p>
        </w:tc>
        <w:tc>
          <w:tcPr>
            <w:tcW w:type="dxa" w:w="54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vAlign w:val="center"/>
          </w:tcPr>
          <w:p>
            <w:pPr>
              <w:jc w:val="left"/>
            </w:pPr>
            <w:r>
              <w:rPr>
                <w:rFonts w:ascii="Georgia" w:cs="Georgia" w:eastAsia="Georgia" w:hAnsi="Georgia"/>
                <w:b w:val="false"/>
                <w:bCs w:val="false"/>
                <w:color w:val="4A5568"/>
                <w:sz w:val="19"/>
                <w:szCs w:val="19"/>
              </w:rPr>
              <w:t xml:space="preserve">Everything in Prometheus Compact plus: named in The Architect's first quarterly report as a Shepherd of the Concord. Permanent Assembly Gallery listing. Exclusive Shepherd's Circle cosmetic lineage thread. Dedicated onboarding with founding team. Priority in Phase 1 survey assignment queue.</w:t>
            </w:r>
          </w:p>
        </w:tc>
      </w:tr>
      <w:tr>
        <w:tc>
          <w:tcPr>
            <w:tcW w:type="dxa" w:w="2400"/>
            <w:tcBorders>
              <w:top w:val="single" w:color="CCCCCC" w:sz="1"/>
              <w:left w:val="single" w:color="CCCCCC" w:sz="1"/>
              <w:bottom w:val="single" w:color="CCCCCC" w:sz="1"/>
              <w:right w:val="single" w:color="CCCCCC" w:sz="1"/>
            </w:tcBorders>
            <w:shd w:fill="F8F6F0" w:val="clear"/>
            <w:tcMar>
              <w:top w:type="dxa" w:w="90"/>
              <w:left w:type="dxa" w:w="150"/>
              <w:bottom w:type="dxa" w:w="90"/>
              <w:right w:type="dxa" w:w="150"/>
            </w:tcMar>
            <w:vAlign w:val="center"/>
          </w:tcPr>
          <w:p>
            <w:pPr>
              <w:jc w:val="left"/>
            </w:pPr>
            <w:r>
              <w:rPr>
                <w:rFonts w:ascii="Georgia" w:cs="Georgia" w:eastAsia="Georgia" w:hAnsi="Georgia"/>
                <w:b w:val="false"/>
                <w:bCs w:val="false"/>
                <w:color w:val="4A5568"/>
                <w:sz w:val="19"/>
                <w:szCs w:val="19"/>
              </w:rPr>
              <w:t xml:space="preserve">FIRST LIGHT</w:t>
            </w:r>
          </w:p>
        </w:tc>
        <w:tc>
          <w:tcPr>
            <w:tcW w:type="dxa" w:w="1560"/>
            <w:tcBorders>
              <w:top w:val="single" w:color="CCCCCC" w:sz="1"/>
              <w:left w:val="single" w:color="CCCCCC" w:sz="1"/>
              <w:bottom w:val="single" w:color="CCCCCC" w:sz="1"/>
              <w:right w:val="single" w:color="CCCCCC" w:sz="1"/>
            </w:tcBorders>
            <w:shd w:fill="F8F6F0" w:val="clear"/>
            <w:tcMar>
              <w:top w:type="dxa" w:w="90"/>
              <w:left w:type="dxa" w:w="150"/>
              <w:bottom w:type="dxa" w:w="90"/>
              <w:right w:type="dxa" w:w="150"/>
            </w:tcMar>
            <w:vAlign w:val="center"/>
          </w:tcPr>
          <w:p>
            <w:pPr>
              <w:jc w:val="left"/>
            </w:pPr>
            <w:r>
              <w:rPr>
                <w:rFonts w:ascii="Georgia" w:cs="Georgia" w:eastAsia="Georgia" w:hAnsi="Georgia"/>
                <w:b w:val="false"/>
                <w:bCs w:val="false"/>
                <w:color w:val="4A5568"/>
                <w:sz w:val="19"/>
                <w:szCs w:val="19"/>
              </w:rPr>
              <w:t xml:space="preserve">$999 one-time</w:t>
            </w:r>
          </w:p>
        </w:tc>
        <w:tc>
          <w:tcPr>
            <w:tcW w:type="dxa" w:w="5400"/>
            <w:tcBorders>
              <w:top w:val="single" w:color="CCCCCC" w:sz="1"/>
              <w:left w:val="single" w:color="CCCCCC" w:sz="1"/>
              <w:bottom w:val="single" w:color="CCCCCC" w:sz="1"/>
              <w:right w:val="single" w:color="CCCCCC" w:sz="1"/>
            </w:tcBorders>
            <w:shd w:fill="F8F6F0" w:val="clear"/>
            <w:tcMar>
              <w:top w:type="dxa" w:w="90"/>
              <w:left w:type="dxa" w:w="150"/>
              <w:bottom w:type="dxa" w:w="90"/>
              <w:right w:type="dxa" w:w="150"/>
            </w:tcMar>
            <w:vAlign w:val="center"/>
          </w:tcPr>
          <w:p>
            <w:pPr>
              <w:jc w:val="left"/>
            </w:pPr>
            <w:r>
              <w:rPr>
                <w:rFonts w:ascii="Georgia" w:cs="Georgia" w:eastAsia="Georgia" w:hAnsi="Georgia"/>
                <w:b w:val="false"/>
                <w:bCs w:val="false"/>
                <w:color w:val="4A5568"/>
                <w:sz w:val="19"/>
                <w:szCs w:val="19"/>
              </w:rPr>
              <w:t xml:space="preserve">Everything above plus: dynasty name integrated into one studio-written Remembrance entry at launch — part of the authored history. Two seats at annual founding dinner. Permanent co-producer credit. Direct line to creative director for the first year.</w:t>
            </w:r>
          </w:p>
        </w:tc>
      </w:tr>
    </w:tbl>
    <w:p>
      <w:pPr>
        <w:spacing w:before="80" w:after="80"/>
      </w:pPr>
      <w:r>
        <w:t xml:space="preserve"/>
      </w:r>
    </w:p>
    <w:p>
      <w:pPr>
        <w:spacing w:before="60" w:after="120"/>
      </w:pPr>
      <w:r>
        <w:rPr>
          <w:rFonts w:ascii="Georgia" w:cs="Georgia" w:eastAsia="Georgia" w:hAnsi="Georgia"/>
          <w:color w:val="4A5568"/>
          <w:sz w:val="22"/>
          <w:szCs w:val="22"/>
        </w:rPr>
        <w:t xml:space="preserve">The First Light tier at $999 is for the people who want to be genuinely part of the creation. The named Remembrance entry is the most significant benefit in the game's history — your dynasty is in the authored history of The Concord from the moment of launch. No amount of in-game achievement can replicate that.</w:t>
      </w:r>
    </w:p>
    <w:p>
      <w:pPr>
        <w:spacing w:before="200" w:after="200"/>
      </w:pPr>
      <w:r>
        <w:t xml:space="preserve"/>
      </w:r>
    </w:p>
    <w:p>
      <w:pPr>
        <w:spacing w:before="80" w:after="80"/>
        <w:jc w:val="center"/>
      </w:pPr>
      <w:r>
        <w:rPr>
          <w:rFonts w:ascii="Arial" w:cs="Arial" w:eastAsia="Arial" w:hAnsi="Arial"/>
          <w:color w:val="C9A84C"/>
          <w:sz w:val="18"/>
          <w:szCs w:val="18"/>
        </w:rPr>
        <w:t xml:space="preserve">━━━━━━━━━━━━━━━━━━━━━━━━━━━━━━━━━━━━━━━━━━━━━</w:t>
      </w:r>
    </w:p>
    <w:p>
      <w:pPr>
        <w:spacing w:before="80" w:after="20"/>
        <w:jc w:val="center"/>
      </w:pPr>
      <w:r>
        <w:rPr>
          <w:rFonts w:ascii="Arial" w:cs="Arial" w:eastAsia="Arial" w:hAnsi="Arial"/>
          <w:color w:val="C9A84C"/>
          <w:sz w:val="24"/>
          <w:szCs w:val="24"/>
        </w:rPr>
        <w:t xml:space="preserve">★  ★  ★  ★  ★</w:t>
      </w:r>
    </w:p>
    <w:p>
      <w:pPr>
        <w:spacing w:before="0" w:after="20"/>
        <w:jc w:val="center"/>
      </w:pPr>
      <w:r>
        <w:rPr>
          <w:rFonts w:ascii="Arial" w:cs="Arial" w:eastAsia="Arial" w:hAnsi="Arial"/>
          <w:i/>
          <w:iCs/>
          <w:color w:val="8A9BB5"/>
          <w:sz w:val="16"/>
          <w:szCs w:val="16"/>
        </w:rPr>
        <w:t xml:space="preserve">THE CONCORD — Master Design Bible — Sessions 1–8 — March 2026</w:t>
      </w:r>
    </w:p>
    <w:p>
      <w:pPr>
        <w:spacing w:before="0" w:after="20"/>
        <w:jc w:val="center"/>
      </w:pPr>
      <w:r>
        <w:rPr>
          <w:rFonts w:ascii="Arial" w:cs="Arial" w:eastAsia="Arial" w:hAnsi="Arial"/>
          <w:b/>
          <w:bCs/>
          <w:color w:val="8B1A1A"/>
          <w:sz w:val="16"/>
          <w:szCs w:val="16"/>
        </w:rPr>
        <w:t xml:space="preserve">Founding Team Only — Not for Distribution</w:t>
      </w:r>
    </w:p>
    <w:p>
      <w:pPr>
        <w:spacing w:before="20" w:after="8"/>
        <w:jc w:val="center"/>
      </w:pPr>
      <w:r>
        <w:rPr>
          <w:rFonts w:ascii="Georgia" w:cs="Georgia" w:eastAsia="Georgia" w:hAnsi="Georgia"/>
          <w:i/>
          <w:iCs/>
          <w:color w:val="C9A84C"/>
          <w:sz w:val="20"/>
          <w:szCs w:val="20"/>
        </w:rPr>
        <w:t xml:space="preserve">One dynasty, honestly built, is worth more than ten managed like spreadsheets.</w:t>
      </w:r>
    </w:p>
    <w:p>
      <w:pPr>
        <w:spacing w:before="0" w:after="40"/>
        <w:jc w:val="center"/>
      </w:pPr>
      <w:r>
        <w:rPr>
          <w:rFonts w:ascii="Georgia" w:cs="Georgia" w:eastAsia="Georgia" w:hAnsi="Georgia"/>
          <w:i/>
          <w:iCs/>
          <w:color w:val="C9A84C"/>
          <w:sz w:val="20"/>
          <w:szCs w:val="20"/>
        </w:rPr>
        <w:t xml:space="preserve">The Remembrance records the truth. The mathematics ensures it.</w:t>
      </w:r>
    </w:p>
    <w:p>
      <w:pPr>
        <w:spacing w:before="0" w:after="0"/>
        <w:jc w:val="center"/>
      </w:pPr>
      <w:r>
        <w:rPr>
          <w:rFonts w:ascii="Arial" w:cs="Arial" w:eastAsia="Arial" w:hAnsi="Arial"/>
          <w:color w:val="C9A84C"/>
          <w:sz w:val="24"/>
          <w:szCs w:val="24"/>
        </w:rPr>
        <w:t xml:space="preserve">★  ★  ★  ★  ★</w:t>
      </w:r>
    </w:p>
    <w:sectPr>
      <w:footerReference w:type="default" r:id="rId6"/>
      <w:pgSz w:w="12240" w:h="15840" w:orient="portrait"/>
      <w:pgMar w:top="1200" w:right="1260" w:bottom="1100" w:left="1260" w:header="708" w:footer="708" w:gutter="0"/>
      <w:pgNumType/>
      <w:docGrid w:linePitch="360"/>
      <w:pgBorders w:offsetFrom="page" w:display="allPages" w:zOrder="back">
        <w:top w:val="stars" w:sz="24" w:space="36" w:color="C9A84C"/>
        <w:left w:val="stars" w:sz="24" w:space="36" w:color="C9A84C"/>
        <w:bottom w:val="stars" w:sz="24" w:space="36" w:color="C9A84C"/>
        <w:right w:val="stars" w:sz="24" w:space="36" w:color="C9A84C"/>
      </w:pgBorders>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0" w:after="0"/>
      <w:jc w:val="center"/>
    </w:pPr>
    <w:r>
      <w:rPr>
        <w:rFonts w:ascii="Arial" w:cs="Arial" w:eastAsia="Arial" w:hAnsi="Arial"/>
        <w:color w:val="8A9BB5"/>
        <w:sz w:val="14"/>
        <w:szCs w:val="14"/>
      </w:rPr>
      <w:t xml:space="preserve">THE CONCORD  ·  Master Design Bible  ·  Founding Team Only  ·  Page </w:t>
    </w:r>
    <w:r>
      <w:rPr>
        <w:rFonts w:ascii="Arial" w:cs="Arial" w:eastAsia="Arial" w:hAnsi="Arial"/>
        <w:color w:val="8A9BB5"/>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3333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200"/>
      <w:outlineLvl w:val="0"/>
    </w:pPr>
    <w:rPr>
      <w:rFonts w:ascii="Arial" w:cs="Arial" w:eastAsia="Arial" w:hAnsi="Arial"/>
      <w:b/>
      <w:bCs/>
      <w:color w:val="0D1B2A"/>
      <w:sz w:val="36"/>
      <w:szCs w:val="36"/>
    </w:rPr>
  </w:style>
  <w:style w:type="paragraph" w:styleId="Heading2">
    <w:name w:val="Heading 2"/>
    <w:basedOn w:val="Normal"/>
    <w:next w:val="Normal"/>
    <w:qFormat/>
    <w:pPr>
      <w:spacing w:before="360" w:after="140"/>
      <w:outlineLvl w:val="1"/>
    </w:pPr>
    <w:rPr>
      <w:rFonts w:ascii="Arial" w:cs="Arial" w:eastAsia="Arial" w:hAnsi="Arial"/>
      <w:b/>
      <w:bCs/>
      <w:color w:val="2E4057"/>
      <w:sz w:val="28"/>
      <w:szCs w:val="28"/>
    </w:rPr>
  </w:style>
  <w:style w:type="paragraph" w:styleId="Heading3">
    <w:name w:val="Heading 3"/>
    <w:basedOn w:val="Normal"/>
    <w:next w:val="Normal"/>
    <w:qFormat/>
    <w:pPr>
      <w:spacing w:before="240" w:after="100"/>
      <w:outlineLvl w:val="2"/>
    </w:pPr>
    <w:rPr>
      <w:rFonts w:ascii="Arial" w:cs="Arial" w:eastAsia="Arial" w:hAnsi="Arial"/>
      <w:b/>
      <w:bCs/>
      <w:color w:val="1A6B8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2026-03-05T20:09:23.908Z</dcterms:created>
  <dcterms:modified xsi:type="dcterms:W3CDTF">2026-03-05T20:09:23.909Z</dcterms:modified>
</cp:coreProperties>
</file>

<file path=docProps/custom.xml><?xml version="1.0" encoding="utf-8"?>
<Properties xmlns="http://schemas.openxmlformats.org/officeDocument/2006/custom-properties" xmlns:vt="http://schemas.openxmlformats.org/officeDocument/2006/docPropsVTypes"/>
</file>